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3168"/>
        <w:gridCol w:w="3839"/>
        <w:gridCol w:w="1111"/>
        <w:gridCol w:w="316"/>
        <w:gridCol w:w="2744"/>
        <w:gridCol w:w="90"/>
        <w:gridCol w:w="1350"/>
        <w:gridCol w:w="1998"/>
      </w:tblGrid>
      <w:tr w:rsidR="00895CE8" w:rsidRPr="00D5423D">
        <w:trPr>
          <w:trHeight w:val="165"/>
          <w:jc w:val="center"/>
        </w:trPr>
        <w:tc>
          <w:tcPr>
            <w:tcW w:w="3168" w:type="dxa"/>
            <w:shd w:val="clear" w:color="auto" w:fill="D9D9D9"/>
          </w:tcPr>
          <w:p w:rsidR="00895CE8" w:rsidRPr="00895BFB" w:rsidRDefault="00895CE8" w:rsidP="00895CE8">
            <w:pPr>
              <w:ind w:left="0" w:firstLine="0"/>
              <w:rPr>
                <w:b/>
                <w:sz w:val="20"/>
                <w:szCs w:val="20"/>
              </w:rPr>
            </w:pPr>
            <w:r w:rsidRPr="00895BFB">
              <w:rPr>
                <w:b/>
                <w:sz w:val="20"/>
                <w:szCs w:val="20"/>
              </w:rPr>
              <w:t>Content Area</w:t>
            </w:r>
          </w:p>
        </w:tc>
        <w:tc>
          <w:tcPr>
            <w:tcW w:w="5266" w:type="dxa"/>
            <w:gridSpan w:val="3"/>
          </w:tcPr>
          <w:p w:rsidR="00895CE8" w:rsidRPr="00895BFB" w:rsidRDefault="00895CE8" w:rsidP="00895CE8">
            <w:pPr>
              <w:ind w:left="0" w:firstLine="0"/>
              <w:rPr>
                <w:sz w:val="20"/>
                <w:szCs w:val="20"/>
              </w:rPr>
            </w:pPr>
            <w:r w:rsidRPr="00895BFB">
              <w:rPr>
                <w:sz w:val="20"/>
                <w:szCs w:val="20"/>
              </w:rPr>
              <w:t>World Languages</w:t>
            </w:r>
          </w:p>
        </w:tc>
        <w:tc>
          <w:tcPr>
            <w:tcW w:w="2744" w:type="dxa"/>
            <w:shd w:val="clear" w:color="auto" w:fill="D9D9D9"/>
          </w:tcPr>
          <w:p w:rsidR="00895CE8" w:rsidRPr="00895BFB" w:rsidRDefault="00895CE8" w:rsidP="00895CE8">
            <w:pPr>
              <w:ind w:left="0" w:firstLine="0"/>
              <w:rPr>
                <w:b/>
                <w:sz w:val="20"/>
                <w:szCs w:val="20"/>
              </w:rPr>
            </w:pPr>
            <w:r w:rsidRPr="00895BFB">
              <w:rPr>
                <w:b/>
                <w:sz w:val="20"/>
                <w:szCs w:val="20"/>
              </w:rPr>
              <w:t>Proficiency Range Level</w:t>
            </w:r>
          </w:p>
        </w:tc>
        <w:tc>
          <w:tcPr>
            <w:tcW w:w="3438" w:type="dxa"/>
            <w:gridSpan w:val="3"/>
          </w:tcPr>
          <w:p w:rsidR="00895CE8" w:rsidRPr="00895BFB" w:rsidRDefault="00895CE8" w:rsidP="00895CE8">
            <w:pPr>
              <w:ind w:left="0" w:firstLine="0"/>
              <w:rPr>
                <w:sz w:val="20"/>
                <w:szCs w:val="20"/>
              </w:rPr>
            </w:pPr>
            <w:r w:rsidRPr="00895BFB">
              <w:rPr>
                <w:sz w:val="20"/>
                <w:szCs w:val="20"/>
              </w:rPr>
              <w:t xml:space="preserve">Intermediate Low </w:t>
            </w:r>
          </w:p>
        </w:tc>
      </w:tr>
      <w:tr w:rsidR="00895CE8" w:rsidRPr="00D5423D">
        <w:trPr>
          <w:trHeight w:val="165"/>
          <w:jc w:val="center"/>
        </w:trPr>
        <w:tc>
          <w:tcPr>
            <w:tcW w:w="3168" w:type="dxa"/>
            <w:tcBorders>
              <w:bottom w:val="single" w:sz="24" w:space="0" w:color="auto"/>
            </w:tcBorders>
            <w:shd w:val="clear" w:color="auto" w:fill="D9D9D9"/>
          </w:tcPr>
          <w:p w:rsidR="00895CE8" w:rsidRPr="00895BFB" w:rsidRDefault="00895CE8" w:rsidP="00895CE8">
            <w:pPr>
              <w:ind w:left="0" w:firstLine="0"/>
              <w:rPr>
                <w:b/>
                <w:sz w:val="20"/>
                <w:szCs w:val="20"/>
              </w:rPr>
            </w:pPr>
            <w:r w:rsidRPr="00895BFB">
              <w:rPr>
                <w:b/>
                <w:sz w:val="20"/>
                <w:szCs w:val="20"/>
              </w:rPr>
              <w:t>Course Name/Course Code</w:t>
            </w:r>
          </w:p>
        </w:tc>
        <w:tc>
          <w:tcPr>
            <w:tcW w:w="11448" w:type="dxa"/>
            <w:gridSpan w:val="7"/>
            <w:tcBorders>
              <w:bottom w:val="single" w:sz="24" w:space="0" w:color="auto"/>
            </w:tcBorders>
          </w:tcPr>
          <w:p w:rsidR="00895CE8" w:rsidRPr="00895BFB" w:rsidRDefault="00895CE8" w:rsidP="00895CE8">
            <w:pPr>
              <w:ind w:left="0" w:firstLine="0"/>
              <w:rPr>
                <w:sz w:val="20"/>
                <w:szCs w:val="20"/>
              </w:rPr>
            </w:pPr>
          </w:p>
        </w:tc>
      </w:tr>
      <w:tr w:rsidR="00895CE8" w:rsidRPr="00D5423D">
        <w:trPr>
          <w:trHeight w:val="165"/>
          <w:jc w:val="center"/>
        </w:trPr>
        <w:tc>
          <w:tcPr>
            <w:tcW w:w="3168" w:type="dxa"/>
            <w:tcBorders>
              <w:top w:val="single" w:sz="24" w:space="0" w:color="auto"/>
              <w:left w:val="single" w:sz="24" w:space="0" w:color="auto"/>
              <w:bottom w:val="single" w:sz="8" w:space="0" w:color="auto"/>
              <w:right w:val="single" w:sz="8" w:space="0" w:color="auto"/>
            </w:tcBorders>
            <w:shd w:val="clear" w:color="auto" w:fill="D9D9D9"/>
          </w:tcPr>
          <w:p w:rsidR="00895CE8" w:rsidRPr="00895BFB" w:rsidRDefault="00895CE8" w:rsidP="00895CE8">
            <w:pPr>
              <w:ind w:left="0" w:firstLine="0"/>
              <w:rPr>
                <w:b/>
                <w:sz w:val="20"/>
                <w:szCs w:val="20"/>
              </w:rPr>
            </w:pPr>
            <w:r w:rsidRPr="00895BFB">
              <w:rPr>
                <w:b/>
                <w:sz w:val="20"/>
                <w:szCs w:val="20"/>
              </w:rPr>
              <w:t>Standard</w:t>
            </w:r>
          </w:p>
        </w:tc>
        <w:tc>
          <w:tcPr>
            <w:tcW w:w="9450" w:type="dxa"/>
            <w:gridSpan w:val="6"/>
            <w:tcBorders>
              <w:top w:val="single" w:sz="24" w:space="0" w:color="auto"/>
              <w:left w:val="single" w:sz="8" w:space="0" w:color="auto"/>
              <w:bottom w:val="single" w:sz="8" w:space="0" w:color="auto"/>
              <w:right w:val="single" w:sz="8" w:space="0" w:color="auto"/>
            </w:tcBorders>
            <w:shd w:val="clear" w:color="auto" w:fill="D9D9D9"/>
          </w:tcPr>
          <w:p w:rsidR="00895CE8" w:rsidRPr="00895BFB" w:rsidRDefault="00895CE8" w:rsidP="00895CE8">
            <w:pPr>
              <w:ind w:left="0" w:firstLine="0"/>
              <w:rPr>
                <w:b/>
                <w:sz w:val="20"/>
                <w:szCs w:val="20"/>
              </w:rPr>
            </w:pPr>
            <w:r w:rsidRPr="00895BFB">
              <w:rPr>
                <w:b/>
                <w:sz w:val="20"/>
                <w:szCs w:val="20"/>
              </w:rPr>
              <w:t>Grade Level Expectations (GLE)</w:t>
            </w:r>
          </w:p>
        </w:tc>
        <w:tc>
          <w:tcPr>
            <w:tcW w:w="1998" w:type="dxa"/>
            <w:tcBorders>
              <w:top w:val="single" w:sz="24" w:space="0" w:color="auto"/>
              <w:left w:val="single" w:sz="8" w:space="0" w:color="auto"/>
              <w:bottom w:val="single" w:sz="8" w:space="0" w:color="auto"/>
              <w:right w:val="single" w:sz="24" w:space="0" w:color="auto"/>
            </w:tcBorders>
            <w:shd w:val="clear" w:color="auto" w:fill="D9D9D9"/>
          </w:tcPr>
          <w:p w:rsidR="00895CE8" w:rsidRPr="00895BFB" w:rsidRDefault="00895CE8" w:rsidP="00895CE8">
            <w:pPr>
              <w:ind w:left="0" w:firstLine="0"/>
              <w:rPr>
                <w:b/>
                <w:sz w:val="20"/>
                <w:szCs w:val="20"/>
              </w:rPr>
            </w:pPr>
            <w:r w:rsidRPr="00895BFB">
              <w:rPr>
                <w:b/>
                <w:sz w:val="20"/>
                <w:szCs w:val="20"/>
              </w:rPr>
              <w:t>GLE Code</w:t>
            </w:r>
          </w:p>
        </w:tc>
      </w:tr>
      <w:tr w:rsidR="00895CE8" w:rsidRPr="00D5423D">
        <w:trPr>
          <w:trHeight w:val="270"/>
          <w:jc w:val="center"/>
        </w:trPr>
        <w:tc>
          <w:tcPr>
            <w:tcW w:w="3168" w:type="dxa"/>
            <w:vMerge w:val="restart"/>
            <w:tcBorders>
              <w:top w:val="single" w:sz="8" w:space="0" w:color="auto"/>
              <w:left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r w:rsidRPr="00895BFB">
              <w:rPr>
                <w:sz w:val="20"/>
                <w:szCs w:val="20"/>
              </w:rPr>
              <w:t>Communication in Languages Other Than English</w:t>
            </w:r>
            <w:r w:rsidR="00692E64">
              <w:rPr>
                <w:sz w:val="20"/>
                <w:szCs w:val="20"/>
              </w:rPr>
              <w:t xml:space="preserve"> </w:t>
            </w:r>
            <w:bookmarkStart w:id="0" w:name="_GoBack"/>
            <w:bookmarkEnd w:id="0"/>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5"/>
              </w:numPr>
              <w:spacing w:after="0" w:line="240" w:lineRule="auto"/>
              <w:ind w:left="360"/>
              <w:contextualSpacing w:val="0"/>
              <w:rPr>
                <w:sz w:val="20"/>
                <w:szCs w:val="20"/>
              </w:rPr>
            </w:pPr>
            <w:r w:rsidRPr="00895BFB">
              <w:rPr>
                <w:sz w:val="20"/>
                <w:szCs w:val="20"/>
              </w:rPr>
              <w:t>Initiate, sustain, and conclude conversations (written or oral) in a variety of situations based on familiar and unfamiliar vocabulary and learned grammatical structures (interpersonal mode)</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ind w:left="0" w:firstLine="0"/>
              <w:rPr>
                <w:rFonts w:cs="Calibri"/>
                <w:sz w:val="20"/>
                <w:szCs w:val="20"/>
              </w:rPr>
            </w:pPr>
            <w:r w:rsidRPr="00895BFB">
              <w:rPr>
                <w:rFonts w:eastAsia="Times New Roman"/>
                <w:sz w:val="20"/>
                <w:szCs w:val="20"/>
              </w:rPr>
              <w:t>WL09-IL-S.1-GLE.1</w:t>
            </w:r>
          </w:p>
        </w:tc>
      </w:tr>
      <w:tr w:rsidR="00895CE8" w:rsidRPr="00D5423D">
        <w:trPr>
          <w:trHeight w:val="120"/>
          <w:jc w:val="center"/>
        </w:trPr>
        <w:tc>
          <w:tcPr>
            <w:tcW w:w="3168" w:type="dxa"/>
            <w:vMerge/>
            <w:tcBorders>
              <w:left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5"/>
              </w:numPr>
              <w:spacing w:after="0" w:line="240" w:lineRule="auto"/>
              <w:ind w:left="360"/>
              <w:contextualSpacing w:val="0"/>
              <w:rPr>
                <w:sz w:val="20"/>
                <w:szCs w:val="20"/>
              </w:rPr>
            </w:pPr>
            <w:r w:rsidRPr="00895BFB">
              <w:rPr>
                <w:sz w:val="20"/>
                <w:szCs w:val="20"/>
              </w:rPr>
              <w:t>Comprehend spoken or written language in a variety of situations based on familiar and unfamiliar vocabulary and learned grammatical structures (interpretive mode)</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sz w:val="20"/>
                <w:szCs w:val="20"/>
              </w:rPr>
            </w:pPr>
            <w:r w:rsidRPr="00895BFB">
              <w:rPr>
                <w:rFonts w:ascii="Calibri" w:hAnsi="Calibri"/>
                <w:sz w:val="20"/>
                <w:szCs w:val="20"/>
              </w:rPr>
              <w:t>WL09-IL-S.1-GLE.2</w:t>
            </w:r>
          </w:p>
        </w:tc>
      </w:tr>
      <w:tr w:rsidR="00895CE8" w:rsidRPr="00D5423D">
        <w:trPr>
          <w:trHeight w:val="120"/>
          <w:jc w:val="center"/>
        </w:trPr>
        <w:tc>
          <w:tcPr>
            <w:tcW w:w="3168" w:type="dxa"/>
            <w:vMerge/>
            <w:tcBorders>
              <w:left w:val="single" w:sz="24" w:space="0" w:color="auto"/>
              <w:bottom w:val="single" w:sz="8"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5"/>
              </w:numPr>
              <w:spacing w:after="0" w:line="240" w:lineRule="auto"/>
              <w:ind w:left="360"/>
              <w:contextualSpacing w:val="0"/>
              <w:jc w:val="both"/>
              <w:rPr>
                <w:sz w:val="20"/>
                <w:szCs w:val="20"/>
              </w:rPr>
            </w:pPr>
            <w:r w:rsidRPr="00895BFB">
              <w:rPr>
                <w:sz w:val="20"/>
                <w:szCs w:val="20"/>
              </w:rPr>
              <w:t>Present (written or oral) on a variety of familiar topics, using familiar vocabulary and learned grammatical structures (presentational mode)</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sz w:val="20"/>
                <w:szCs w:val="20"/>
              </w:rPr>
            </w:pPr>
            <w:r w:rsidRPr="00895BFB">
              <w:rPr>
                <w:rFonts w:ascii="Calibri" w:hAnsi="Calibri"/>
                <w:sz w:val="20"/>
                <w:szCs w:val="20"/>
              </w:rPr>
              <w:t>WL09-IL-S.1-GLE.3</w:t>
            </w:r>
          </w:p>
        </w:tc>
      </w:tr>
      <w:tr w:rsidR="00895CE8" w:rsidRPr="00D5423D">
        <w:trPr>
          <w:trHeight w:val="131"/>
          <w:jc w:val="center"/>
        </w:trPr>
        <w:tc>
          <w:tcPr>
            <w:tcW w:w="3168" w:type="dxa"/>
            <w:vMerge w:val="restart"/>
            <w:tcBorders>
              <w:top w:val="single" w:sz="8" w:space="0" w:color="auto"/>
              <w:left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r w:rsidRPr="00895BFB">
              <w:rPr>
                <w:sz w:val="20"/>
                <w:szCs w:val="20"/>
              </w:rPr>
              <w:t>Knowledge and Understanding of Other Cultures</w:t>
            </w: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6"/>
              </w:numPr>
              <w:spacing w:after="0" w:line="240" w:lineRule="auto"/>
              <w:contextualSpacing w:val="0"/>
              <w:rPr>
                <w:sz w:val="20"/>
                <w:szCs w:val="20"/>
              </w:rPr>
            </w:pPr>
            <w:r w:rsidRPr="00895BFB">
              <w:rPr>
                <w:sz w:val="20"/>
                <w:szCs w:val="20"/>
              </w:rPr>
              <w:t>Draw conclusions using a personal understanding of the perspectives and practices of the cultures studied</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cs="Calibri"/>
                <w:sz w:val="20"/>
                <w:szCs w:val="20"/>
              </w:rPr>
            </w:pPr>
            <w:r w:rsidRPr="00895BFB">
              <w:rPr>
                <w:rFonts w:ascii="Calibri" w:hAnsi="Calibri"/>
                <w:sz w:val="20"/>
                <w:szCs w:val="20"/>
              </w:rPr>
              <w:t>WL09-IL-S.2-GLE.1</w:t>
            </w:r>
          </w:p>
        </w:tc>
      </w:tr>
      <w:tr w:rsidR="00895CE8" w:rsidRPr="00D5423D">
        <w:trPr>
          <w:trHeight w:val="131"/>
          <w:jc w:val="center"/>
        </w:trPr>
        <w:tc>
          <w:tcPr>
            <w:tcW w:w="3168" w:type="dxa"/>
            <w:vMerge/>
            <w:tcBorders>
              <w:left w:val="single" w:sz="24" w:space="0" w:color="auto"/>
              <w:bottom w:val="single" w:sz="8"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6"/>
              </w:numPr>
              <w:tabs>
                <w:tab w:val="left" w:pos="540"/>
              </w:tabs>
              <w:spacing w:after="0" w:line="240" w:lineRule="auto"/>
              <w:contextualSpacing w:val="0"/>
              <w:jc w:val="both"/>
              <w:rPr>
                <w:sz w:val="20"/>
                <w:szCs w:val="20"/>
              </w:rPr>
            </w:pPr>
            <w:r w:rsidRPr="00895BFB">
              <w:rPr>
                <w:sz w:val="20"/>
                <w:szCs w:val="20"/>
              </w:rPr>
              <w:t>Examine how the perspectives of people who speak the target language are reflected in their products</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sz w:val="20"/>
                <w:szCs w:val="20"/>
              </w:rPr>
            </w:pPr>
            <w:r w:rsidRPr="00895BFB">
              <w:rPr>
                <w:rFonts w:ascii="Calibri" w:hAnsi="Calibri"/>
                <w:sz w:val="20"/>
                <w:szCs w:val="20"/>
              </w:rPr>
              <w:t>WL09-IL-S.2-GLE.2</w:t>
            </w:r>
          </w:p>
        </w:tc>
      </w:tr>
      <w:tr w:rsidR="00895CE8" w:rsidRPr="00D5423D">
        <w:trPr>
          <w:trHeight w:val="270"/>
          <w:jc w:val="center"/>
        </w:trPr>
        <w:tc>
          <w:tcPr>
            <w:tcW w:w="3168" w:type="dxa"/>
            <w:vMerge w:val="restart"/>
            <w:tcBorders>
              <w:top w:val="single" w:sz="8" w:space="0" w:color="auto"/>
              <w:left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r w:rsidRPr="00895BFB">
              <w:rPr>
                <w:sz w:val="20"/>
                <w:szCs w:val="20"/>
              </w:rPr>
              <w:t>Connections with Other Disciplines and Information Acquisition</w:t>
            </w: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7"/>
              </w:numPr>
              <w:spacing w:after="0" w:line="240" w:lineRule="auto"/>
              <w:contextualSpacing w:val="0"/>
              <w:rPr>
                <w:sz w:val="20"/>
                <w:szCs w:val="20"/>
              </w:rPr>
            </w:pPr>
            <w:r w:rsidRPr="00895BFB">
              <w:rPr>
                <w:sz w:val="20"/>
                <w:szCs w:val="20"/>
              </w:rPr>
              <w:t>Assess the usefulness of information gathered from target language resources for application in other content areas</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cs="Calibri"/>
                <w:sz w:val="20"/>
                <w:szCs w:val="20"/>
              </w:rPr>
            </w:pPr>
            <w:r w:rsidRPr="00895BFB">
              <w:rPr>
                <w:rFonts w:ascii="Calibri" w:hAnsi="Calibri"/>
                <w:sz w:val="20"/>
                <w:szCs w:val="20"/>
              </w:rPr>
              <w:t>WL09-IL-S.3-GLE.1</w:t>
            </w:r>
          </w:p>
        </w:tc>
      </w:tr>
      <w:tr w:rsidR="00895CE8" w:rsidRPr="00D5423D">
        <w:trPr>
          <w:trHeight w:val="270"/>
          <w:jc w:val="center"/>
        </w:trPr>
        <w:tc>
          <w:tcPr>
            <w:tcW w:w="3168" w:type="dxa"/>
            <w:vMerge/>
            <w:tcBorders>
              <w:left w:val="single" w:sz="24" w:space="0" w:color="auto"/>
              <w:bottom w:val="single" w:sz="8"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7"/>
              </w:numPr>
              <w:spacing w:after="0" w:line="240" w:lineRule="auto"/>
              <w:contextualSpacing w:val="0"/>
              <w:jc w:val="both"/>
              <w:rPr>
                <w:sz w:val="20"/>
                <w:szCs w:val="20"/>
              </w:rPr>
            </w:pPr>
            <w:r w:rsidRPr="00895BFB">
              <w:rPr>
                <w:sz w:val="20"/>
                <w:szCs w:val="20"/>
              </w:rPr>
              <w:t>Examine information and viewpoints presented in authentic resources</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sz w:val="20"/>
                <w:szCs w:val="20"/>
              </w:rPr>
            </w:pPr>
            <w:r w:rsidRPr="00895BFB">
              <w:rPr>
                <w:rFonts w:ascii="Calibri" w:hAnsi="Calibri"/>
                <w:sz w:val="20"/>
                <w:szCs w:val="20"/>
              </w:rPr>
              <w:t>WL09-IL-S.3-GLE.2</w:t>
            </w:r>
          </w:p>
        </w:tc>
      </w:tr>
      <w:tr w:rsidR="00895CE8" w:rsidRPr="00D5423D">
        <w:trPr>
          <w:trHeight w:val="270"/>
          <w:jc w:val="center"/>
        </w:trPr>
        <w:tc>
          <w:tcPr>
            <w:tcW w:w="3168" w:type="dxa"/>
            <w:vMerge w:val="restart"/>
            <w:tcBorders>
              <w:top w:val="single" w:sz="8" w:space="0" w:color="auto"/>
              <w:left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r w:rsidRPr="00895BFB">
              <w:rPr>
                <w:sz w:val="20"/>
                <w:szCs w:val="20"/>
              </w:rPr>
              <w:t>Comparisons to Develop Insight into the Nature of Language and Culture</w:t>
            </w:r>
          </w:p>
        </w:tc>
        <w:tc>
          <w:tcPr>
            <w:tcW w:w="9450" w:type="dxa"/>
            <w:gridSpan w:val="6"/>
            <w:tcBorders>
              <w:top w:val="single" w:sz="8" w:space="0" w:color="auto"/>
              <w:left w:val="single" w:sz="8" w:space="0" w:color="auto"/>
              <w:bottom w:val="single" w:sz="8" w:space="0" w:color="auto"/>
              <w:right w:val="single" w:sz="8" w:space="0" w:color="auto"/>
            </w:tcBorders>
          </w:tcPr>
          <w:p w:rsidR="00895CE8" w:rsidRPr="00895BFB" w:rsidRDefault="00895CE8" w:rsidP="00895CE8">
            <w:pPr>
              <w:pStyle w:val="ColorfulList-Accent11"/>
              <w:numPr>
                <w:ilvl w:val="0"/>
                <w:numId w:val="8"/>
              </w:numPr>
              <w:spacing w:after="0" w:line="240" w:lineRule="auto"/>
              <w:contextualSpacing w:val="0"/>
              <w:rPr>
                <w:sz w:val="20"/>
                <w:szCs w:val="20"/>
              </w:rPr>
            </w:pPr>
            <w:r w:rsidRPr="00895BFB">
              <w:rPr>
                <w:sz w:val="20"/>
                <w:szCs w:val="20"/>
              </w:rPr>
              <w:t>Recognize how the significance of the similarities and differences between the target language and the student’s own language provides insight into the structures of their own language</w:t>
            </w:r>
          </w:p>
        </w:tc>
        <w:tc>
          <w:tcPr>
            <w:tcW w:w="1998" w:type="dxa"/>
            <w:tcBorders>
              <w:top w:val="single" w:sz="8" w:space="0" w:color="auto"/>
              <w:left w:val="single" w:sz="8" w:space="0" w:color="auto"/>
              <w:bottom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cs="Calibri"/>
                <w:sz w:val="20"/>
                <w:szCs w:val="20"/>
              </w:rPr>
            </w:pPr>
            <w:r w:rsidRPr="00895BFB">
              <w:rPr>
                <w:rFonts w:ascii="Calibri" w:hAnsi="Calibri"/>
                <w:sz w:val="20"/>
                <w:szCs w:val="20"/>
              </w:rPr>
              <w:t>WL09-IL-S.4-GLE.1</w:t>
            </w:r>
          </w:p>
        </w:tc>
      </w:tr>
      <w:tr w:rsidR="00895CE8" w:rsidRPr="00D5423D">
        <w:trPr>
          <w:trHeight w:val="34"/>
          <w:jc w:val="center"/>
        </w:trPr>
        <w:tc>
          <w:tcPr>
            <w:tcW w:w="3168" w:type="dxa"/>
            <w:vMerge/>
            <w:tcBorders>
              <w:left w:val="single" w:sz="24" w:space="0" w:color="auto"/>
              <w:bottom w:val="single" w:sz="24" w:space="0" w:color="auto"/>
              <w:right w:val="single" w:sz="8" w:space="0" w:color="auto"/>
            </w:tcBorders>
          </w:tcPr>
          <w:p w:rsidR="00895CE8" w:rsidRPr="00895BFB" w:rsidRDefault="00895CE8" w:rsidP="00895CE8">
            <w:pPr>
              <w:pStyle w:val="ColorfulList-Accent11"/>
              <w:numPr>
                <w:ilvl w:val="0"/>
                <w:numId w:val="3"/>
              </w:numPr>
              <w:spacing w:after="0" w:line="240" w:lineRule="auto"/>
              <w:contextualSpacing w:val="0"/>
              <w:rPr>
                <w:sz w:val="20"/>
                <w:szCs w:val="20"/>
              </w:rPr>
            </w:pPr>
          </w:p>
        </w:tc>
        <w:tc>
          <w:tcPr>
            <w:tcW w:w="9450" w:type="dxa"/>
            <w:gridSpan w:val="6"/>
            <w:tcBorders>
              <w:top w:val="single" w:sz="8" w:space="0" w:color="auto"/>
              <w:left w:val="single" w:sz="8" w:space="0" w:color="auto"/>
              <w:right w:val="single" w:sz="8" w:space="0" w:color="auto"/>
            </w:tcBorders>
          </w:tcPr>
          <w:p w:rsidR="00895CE8" w:rsidRPr="00895BFB" w:rsidRDefault="00895CE8" w:rsidP="00895CE8">
            <w:pPr>
              <w:pStyle w:val="ColorfulList-Accent11"/>
              <w:numPr>
                <w:ilvl w:val="0"/>
                <w:numId w:val="8"/>
              </w:numPr>
              <w:spacing w:after="0" w:line="240" w:lineRule="auto"/>
              <w:contextualSpacing w:val="0"/>
              <w:jc w:val="both"/>
              <w:rPr>
                <w:sz w:val="20"/>
                <w:szCs w:val="20"/>
              </w:rPr>
            </w:pPr>
            <w:r w:rsidRPr="00895BFB">
              <w:rPr>
                <w:sz w:val="20"/>
                <w:szCs w:val="20"/>
              </w:rPr>
              <w:t xml:space="preserve">Compare the similarities and differences between the target culture(s) and the student’s own culture </w:t>
            </w:r>
          </w:p>
        </w:tc>
        <w:tc>
          <w:tcPr>
            <w:tcW w:w="1998" w:type="dxa"/>
            <w:tcBorders>
              <w:top w:val="single" w:sz="8" w:space="0" w:color="auto"/>
              <w:left w:val="single" w:sz="8" w:space="0" w:color="auto"/>
              <w:right w:val="single" w:sz="24" w:space="0" w:color="auto"/>
            </w:tcBorders>
          </w:tcPr>
          <w:p w:rsidR="00895CE8" w:rsidRPr="00895BFB" w:rsidRDefault="00895CE8" w:rsidP="00895CE8">
            <w:pPr>
              <w:pStyle w:val="NormalWeb"/>
              <w:spacing w:before="0" w:beforeAutospacing="0" w:after="0" w:afterAutospacing="0"/>
              <w:rPr>
                <w:rFonts w:ascii="Calibri" w:hAnsi="Calibri"/>
                <w:sz w:val="20"/>
                <w:szCs w:val="20"/>
              </w:rPr>
            </w:pPr>
            <w:r w:rsidRPr="00895BFB">
              <w:rPr>
                <w:rFonts w:ascii="Calibri" w:hAnsi="Calibri"/>
                <w:sz w:val="20"/>
                <w:szCs w:val="20"/>
              </w:rPr>
              <w:t>WL09-IL-S.4-GLE.2</w:t>
            </w:r>
          </w:p>
        </w:tc>
      </w:tr>
      <w:tr w:rsidR="00895CE8" w:rsidRPr="00D5423D">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vAlign w:val="center"/>
          </w:tcPr>
          <w:p w:rsidR="00895CE8" w:rsidRPr="00895BFB" w:rsidRDefault="00895CE8" w:rsidP="00895CE8">
            <w:pPr>
              <w:ind w:left="0" w:firstLine="0"/>
              <w:jc w:val="center"/>
              <w:rPr>
                <w:b/>
                <w:sz w:val="20"/>
                <w:szCs w:val="20"/>
              </w:rPr>
            </w:pPr>
            <w:r w:rsidRPr="00895BFB">
              <w:rPr>
                <w:b/>
                <w:sz w:val="28"/>
                <w:szCs w:val="20"/>
              </w:rPr>
              <w:t>Colorado 21</w:t>
            </w:r>
            <w:r w:rsidRPr="00895BFB">
              <w:rPr>
                <w:b/>
                <w:sz w:val="28"/>
                <w:szCs w:val="20"/>
                <w:vertAlign w:val="superscript"/>
              </w:rPr>
              <w:t>st</w:t>
            </w:r>
            <w:r w:rsidRPr="00895BFB">
              <w:rPr>
                <w:b/>
                <w:sz w:val="28"/>
                <w:szCs w:val="20"/>
              </w:rPr>
              <w:t xml:space="preserve"> Century Skills</w:t>
            </w:r>
          </w:p>
          <w:p w:rsidR="00895CE8" w:rsidRPr="00895BFB" w:rsidRDefault="00850742" w:rsidP="00895CE8">
            <w:pPr>
              <w:ind w:left="0" w:firstLine="0"/>
              <w:rPr>
                <w:rFonts w:cs="Verdana"/>
                <w:b/>
                <w:sz w:val="20"/>
                <w:szCs w:val="20"/>
              </w:rPr>
            </w:pPr>
            <w:r>
              <w:rPr>
                <w:rFonts w:cs="Verdana"/>
                <w:b/>
                <w:noProof/>
                <w:sz w:val="20"/>
                <w:szCs w:val="20"/>
              </w:rPr>
              <w:drawing>
                <wp:anchor distT="0" distB="0" distL="114300" distR="114300" simplePos="0" relativeHeight="251657216" behindDoc="0" locked="0" layoutInCell="1" allowOverlap="1">
                  <wp:simplePos x="0" y="0"/>
                  <wp:positionH relativeFrom="column">
                    <wp:posOffset>22860</wp:posOffset>
                  </wp:positionH>
                  <wp:positionV relativeFrom="paragraph">
                    <wp:posOffset>29210</wp:posOffset>
                  </wp:positionV>
                  <wp:extent cx="1602740" cy="1637665"/>
                  <wp:effectExtent l="0" t="0" r="0" b="635"/>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2740" cy="1637665"/>
                          </a:xfrm>
                          <a:prstGeom prst="rect">
                            <a:avLst/>
                          </a:prstGeom>
                          <a:solidFill>
                            <a:srgbClr val="D9D9D9"/>
                          </a:solidFill>
                          <a:ln>
                            <a:noFill/>
                          </a:ln>
                        </pic:spPr>
                      </pic:pic>
                    </a:graphicData>
                  </a:graphic>
                  <wp14:sizeRelH relativeFrom="page">
                    <wp14:pctWidth>0</wp14:pctWidth>
                  </wp14:sizeRelH>
                  <wp14:sizeRelV relativeFrom="page">
                    <wp14:pctHeight>0</wp14:pctHeight>
                  </wp14:sizeRelV>
                </wp:anchor>
              </w:drawing>
            </w:r>
          </w:p>
          <w:p w:rsidR="00895CE8" w:rsidRPr="00895BFB" w:rsidRDefault="00895CE8" w:rsidP="00895CE8">
            <w:pPr>
              <w:spacing w:before="120" w:after="120"/>
              <w:ind w:left="0" w:firstLine="0"/>
              <w:rPr>
                <w:rFonts w:cs="Verdana"/>
                <w:b/>
                <w:sz w:val="20"/>
                <w:szCs w:val="20"/>
              </w:rPr>
            </w:pPr>
            <w:r w:rsidRPr="00895BFB">
              <w:rPr>
                <w:rFonts w:cs="Verdana"/>
                <w:b/>
                <w:sz w:val="20"/>
                <w:szCs w:val="20"/>
              </w:rPr>
              <w:t xml:space="preserve">Critical Thinking and Reasoning:  </w:t>
            </w:r>
            <w:r w:rsidRPr="00895BFB">
              <w:rPr>
                <w:rFonts w:cs="Verdana"/>
                <w:i/>
                <w:sz w:val="20"/>
                <w:szCs w:val="20"/>
              </w:rPr>
              <w:t>Thinking Deeply, Thinking Differently</w:t>
            </w:r>
          </w:p>
          <w:p w:rsidR="00895CE8" w:rsidRPr="00895BFB" w:rsidRDefault="00895CE8" w:rsidP="00895CE8">
            <w:pPr>
              <w:spacing w:before="120" w:after="120"/>
              <w:ind w:left="432" w:firstLine="0"/>
              <w:rPr>
                <w:rFonts w:cs="Verdana"/>
                <w:b/>
                <w:i/>
                <w:sz w:val="20"/>
                <w:szCs w:val="20"/>
              </w:rPr>
            </w:pPr>
            <w:r w:rsidRPr="00895BFB">
              <w:rPr>
                <w:rFonts w:cs="Verdana"/>
                <w:b/>
                <w:sz w:val="20"/>
                <w:szCs w:val="20"/>
              </w:rPr>
              <w:t xml:space="preserve">Information Literacy: </w:t>
            </w:r>
            <w:r w:rsidRPr="00895BFB">
              <w:rPr>
                <w:rFonts w:cs="Verdana"/>
                <w:i/>
                <w:sz w:val="20"/>
                <w:szCs w:val="20"/>
              </w:rPr>
              <w:t>Untangling the Web</w:t>
            </w:r>
          </w:p>
          <w:p w:rsidR="00895CE8" w:rsidRPr="00895BFB" w:rsidRDefault="00895CE8" w:rsidP="00895CE8">
            <w:pPr>
              <w:spacing w:before="120" w:after="120"/>
              <w:ind w:left="432" w:firstLine="0"/>
              <w:rPr>
                <w:rFonts w:cs="Verdana"/>
                <w:b/>
                <w:sz w:val="20"/>
                <w:szCs w:val="20"/>
              </w:rPr>
            </w:pPr>
            <w:r w:rsidRPr="00895BFB">
              <w:rPr>
                <w:rFonts w:cs="Verdana"/>
                <w:b/>
                <w:sz w:val="20"/>
                <w:szCs w:val="20"/>
              </w:rPr>
              <w:t xml:space="preserve">Collaboration: </w:t>
            </w:r>
            <w:r w:rsidRPr="00895BFB">
              <w:rPr>
                <w:rFonts w:cs="Verdana"/>
                <w:i/>
                <w:sz w:val="20"/>
                <w:szCs w:val="20"/>
              </w:rPr>
              <w:t>Working Together, Learning Together</w:t>
            </w:r>
          </w:p>
          <w:p w:rsidR="00895CE8" w:rsidRPr="00895BFB" w:rsidRDefault="00895CE8" w:rsidP="00895CE8">
            <w:pPr>
              <w:spacing w:before="120" w:after="120"/>
              <w:ind w:left="432" w:firstLine="0"/>
              <w:rPr>
                <w:rFonts w:cs="Verdana"/>
                <w:b/>
                <w:sz w:val="20"/>
                <w:szCs w:val="20"/>
              </w:rPr>
            </w:pPr>
            <w:r w:rsidRPr="00895BFB">
              <w:rPr>
                <w:rFonts w:cs="Verdana"/>
                <w:b/>
                <w:sz w:val="20"/>
                <w:szCs w:val="20"/>
              </w:rPr>
              <w:t xml:space="preserve">Self-Direction: </w:t>
            </w:r>
            <w:r w:rsidRPr="00895BFB">
              <w:rPr>
                <w:rFonts w:cs="Verdana"/>
                <w:i/>
                <w:sz w:val="20"/>
                <w:szCs w:val="20"/>
              </w:rPr>
              <w:t>Own Your Learning</w:t>
            </w:r>
            <w:r w:rsidRPr="00895BFB">
              <w:rPr>
                <w:rFonts w:cs="Verdana"/>
                <w:b/>
                <w:sz w:val="20"/>
                <w:szCs w:val="20"/>
              </w:rPr>
              <w:t xml:space="preserve"> </w:t>
            </w:r>
          </w:p>
          <w:p w:rsidR="00895CE8" w:rsidRPr="00895BFB" w:rsidRDefault="00895CE8" w:rsidP="00895CE8">
            <w:pPr>
              <w:spacing w:before="120" w:after="120"/>
              <w:ind w:left="432" w:firstLine="11"/>
              <w:rPr>
                <w:b/>
                <w:sz w:val="20"/>
                <w:szCs w:val="20"/>
              </w:rPr>
            </w:pPr>
            <w:r w:rsidRPr="00895BFB">
              <w:rPr>
                <w:rFonts w:cs="Verdana"/>
                <w:b/>
                <w:sz w:val="20"/>
                <w:szCs w:val="20"/>
              </w:rPr>
              <w:t xml:space="preserve">Invention: </w:t>
            </w:r>
            <w:r w:rsidRPr="00895BFB">
              <w:rPr>
                <w:rFonts w:cs="Verdana"/>
                <w:i/>
                <w:sz w:val="20"/>
                <w:szCs w:val="20"/>
              </w:rPr>
              <w:t>Creating Solutions</w:t>
            </w:r>
            <w:r w:rsidRPr="00895BFB">
              <w:rPr>
                <w:rFonts w:cs="Verdana"/>
                <w:b/>
                <w:sz w:val="20"/>
                <w:szCs w:val="20"/>
              </w:rPr>
              <w:t xml:space="preserve"> </w:t>
            </w:r>
          </w:p>
        </w:tc>
        <w:tc>
          <w:tcPr>
            <w:tcW w:w="7609" w:type="dxa"/>
            <w:gridSpan w:val="6"/>
            <w:tcBorders>
              <w:top w:val="single" w:sz="24" w:space="0" w:color="auto"/>
              <w:left w:val="single" w:sz="24" w:space="0" w:color="auto"/>
              <w:bottom w:val="single" w:sz="24" w:space="0" w:color="auto"/>
              <w:right w:val="single" w:sz="24" w:space="0" w:color="auto"/>
            </w:tcBorders>
            <w:vAlign w:val="center"/>
          </w:tcPr>
          <w:p w:rsidR="00895CE8" w:rsidRDefault="00850742" w:rsidP="00895CE8">
            <w:pPr>
              <w:ind w:left="0" w:firstLine="0"/>
              <w:rPr>
                <w:noProof/>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2071370" cy="1783715"/>
                  <wp:effectExtent l="0" t="0" r="5080" b="698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t="7652"/>
                          <a:stretch>
                            <a:fillRect/>
                          </a:stretch>
                        </pic:blipFill>
                        <pic:spPr bwMode="auto">
                          <a:xfrm>
                            <a:off x="0" y="0"/>
                            <a:ext cx="2071370" cy="1783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5CE8" w:rsidRPr="00D5423D" w:rsidRDefault="00895CE8" w:rsidP="00895CE8">
            <w:pPr>
              <w:ind w:left="0" w:firstLine="0"/>
              <w:rPr>
                <w:noProof/>
              </w:rPr>
            </w:pPr>
            <w:r w:rsidRPr="00B51414">
              <w:rPr>
                <w:noProof/>
                <w:sz w:val="20"/>
              </w:rPr>
              <w:t>The Colorado World Languages Standards describe what learners should know and be able to do as they develop proficiency in a foreign language. Communication is at the center using the interpersonal, interpretive and presentational modes. Communication is then supported by understanding cultural perspectives, making connections to other disciplines and comparing one’s own language and culture with the new language.</w:t>
            </w:r>
          </w:p>
        </w:tc>
      </w:tr>
      <w:tr w:rsidR="00895CE8" w:rsidRPr="00D5423D">
        <w:trPr>
          <w:trHeight w:val="165"/>
          <w:jc w:val="center"/>
        </w:trPr>
        <w:tc>
          <w:tcPr>
            <w:tcW w:w="8118" w:type="dxa"/>
            <w:gridSpan w:val="3"/>
            <w:tcBorders>
              <w:top w:val="single" w:sz="24" w:space="0" w:color="auto"/>
            </w:tcBorders>
            <w:shd w:val="clear" w:color="auto" w:fill="D9D9D9"/>
          </w:tcPr>
          <w:p w:rsidR="00895CE8" w:rsidRPr="00895BFB" w:rsidRDefault="00895CE8" w:rsidP="00895CE8">
            <w:pPr>
              <w:ind w:left="0" w:firstLine="0"/>
              <w:rPr>
                <w:b/>
                <w:sz w:val="20"/>
                <w:szCs w:val="20"/>
              </w:rPr>
            </w:pPr>
            <w:r w:rsidRPr="00895BFB">
              <w:rPr>
                <w:b/>
                <w:sz w:val="20"/>
                <w:szCs w:val="20"/>
              </w:rPr>
              <w:t>Unit Titles</w:t>
            </w:r>
          </w:p>
        </w:tc>
        <w:tc>
          <w:tcPr>
            <w:tcW w:w="3150" w:type="dxa"/>
            <w:gridSpan w:val="3"/>
            <w:tcBorders>
              <w:top w:val="single" w:sz="24" w:space="0" w:color="auto"/>
            </w:tcBorders>
            <w:shd w:val="clear" w:color="auto" w:fill="D9D9D9"/>
          </w:tcPr>
          <w:p w:rsidR="00895CE8" w:rsidRPr="00895BFB" w:rsidRDefault="00895CE8" w:rsidP="00895CE8">
            <w:pPr>
              <w:ind w:left="0" w:firstLine="0"/>
              <w:rPr>
                <w:sz w:val="20"/>
                <w:szCs w:val="20"/>
              </w:rPr>
            </w:pPr>
            <w:r w:rsidRPr="00895BFB">
              <w:rPr>
                <w:b/>
                <w:sz w:val="20"/>
                <w:szCs w:val="20"/>
              </w:rPr>
              <w:t>Length of Unit/Contact Hours</w:t>
            </w:r>
          </w:p>
        </w:tc>
        <w:tc>
          <w:tcPr>
            <w:tcW w:w="3348" w:type="dxa"/>
            <w:gridSpan w:val="2"/>
            <w:tcBorders>
              <w:top w:val="single" w:sz="24" w:space="0" w:color="auto"/>
            </w:tcBorders>
            <w:shd w:val="clear" w:color="auto" w:fill="D9D9D9"/>
          </w:tcPr>
          <w:p w:rsidR="00895CE8" w:rsidRPr="00895BFB" w:rsidRDefault="00895CE8" w:rsidP="00895CE8">
            <w:pPr>
              <w:ind w:left="0" w:firstLine="0"/>
              <w:rPr>
                <w:b/>
                <w:sz w:val="20"/>
                <w:szCs w:val="20"/>
              </w:rPr>
            </w:pPr>
            <w:r w:rsidRPr="00895BFB">
              <w:rPr>
                <w:b/>
                <w:sz w:val="20"/>
                <w:szCs w:val="20"/>
              </w:rPr>
              <w:t>Unit Number/Sequence</w:t>
            </w:r>
          </w:p>
        </w:tc>
      </w:tr>
      <w:tr w:rsidR="00895CE8" w:rsidRPr="00D5423D">
        <w:trPr>
          <w:trHeight w:val="165"/>
          <w:jc w:val="center"/>
        </w:trPr>
        <w:tc>
          <w:tcPr>
            <w:tcW w:w="8118" w:type="dxa"/>
            <w:gridSpan w:val="3"/>
          </w:tcPr>
          <w:p w:rsidR="00895CE8" w:rsidRPr="00D5423D" w:rsidRDefault="00895CE8" w:rsidP="00895CE8">
            <w:pPr>
              <w:ind w:left="0" w:firstLine="0"/>
              <w:rPr>
                <w:sz w:val="20"/>
                <w:szCs w:val="20"/>
              </w:rPr>
            </w:pPr>
            <w:r>
              <w:rPr>
                <w:sz w:val="20"/>
                <w:szCs w:val="20"/>
              </w:rPr>
              <w:t>Are we…what we eat?</w:t>
            </w:r>
          </w:p>
        </w:tc>
        <w:tc>
          <w:tcPr>
            <w:tcW w:w="3150" w:type="dxa"/>
            <w:gridSpan w:val="3"/>
          </w:tcPr>
          <w:p w:rsidR="00895CE8" w:rsidRPr="00895BFB" w:rsidRDefault="00895CE8" w:rsidP="00895CE8">
            <w:pPr>
              <w:ind w:left="0" w:firstLine="0"/>
              <w:rPr>
                <w:sz w:val="20"/>
                <w:szCs w:val="20"/>
              </w:rPr>
            </w:pPr>
            <w:r w:rsidRPr="00895BFB">
              <w:rPr>
                <w:sz w:val="20"/>
                <w:szCs w:val="20"/>
              </w:rPr>
              <w:t>3-6 weeks = 15-30 days</w:t>
            </w:r>
          </w:p>
        </w:tc>
        <w:tc>
          <w:tcPr>
            <w:tcW w:w="3348" w:type="dxa"/>
            <w:gridSpan w:val="2"/>
          </w:tcPr>
          <w:p w:rsidR="00895CE8" w:rsidRPr="00895BFB" w:rsidRDefault="00895CE8" w:rsidP="00895CE8">
            <w:pPr>
              <w:ind w:left="0" w:firstLine="0"/>
              <w:rPr>
                <w:sz w:val="20"/>
                <w:szCs w:val="20"/>
              </w:rPr>
            </w:pPr>
          </w:p>
        </w:tc>
      </w:tr>
    </w:tbl>
    <w:p w:rsidR="00895CE8" w:rsidRPr="00895BFB" w:rsidRDefault="00895CE8" w:rsidP="00895CE8">
      <w:pPr>
        <w:ind w:left="0" w:firstLine="0"/>
        <w:rPr>
          <w:sz w:val="20"/>
          <w:szCs w:val="20"/>
        </w:rPr>
        <w:sectPr w:rsidR="00895CE8" w:rsidRPr="00895BFB">
          <w:headerReference w:type="default" r:id="rId10"/>
          <w:footerReference w:type="default" r:id="rId11"/>
          <w:pgSz w:w="15840" w:h="12240" w:orient="landscape"/>
          <w:pgMar w:top="720" w:right="720" w:bottom="720" w:left="720" w:header="720" w:footer="440" w:gutter="0"/>
          <w:cols w:space="720"/>
          <w:docGrid w:linePitch="360"/>
        </w:sect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4320"/>
        <w:gridCol w:w="1421"/>
        <w:gridCol w:w="1099"/>
        <w:gridCol w:w="857"/>
        <w:gridCol w:w="4699"/>
      </w:tblGrid>
      <w:tr w:rsidR="00895CE8" w:rsidRPr="00D5423D">
        <w:trPr>
          <w:cantSplit/>
          <w:jc w:val="center"/>
        </w:trPr>
        <w:tc>
          <w:tcPr>
            <w:tcW w:w="2317" w:type="dxa"/>
            <w:shd w:val="clear" w:color="auto" w:fill="000000"/>
          </w:tcPr>
          <w:p w:rsidR="00895CE8" w:rsidRPr="00895BFB" w:rsidRDefault="00895CE8" w:rsidP="00895CE8">
            <w:pPr>
              <w:ind w:left="0" w:firstLine="0"/>
              <w:rPr>
                <w:b/>
                <w:sz w:val="20"/>
                <w:szCs w:val="20"/>
              </w:rPr>
            </w:pPr>
            <w:r w:rsidRPr="00895BFB">
              <w:rPr>
                <w:b/>
                <w:sz w:val="24"/>
                <w:szCs w:val="20"/>
              </w:rPr>
              <w:lastRenderedPageBreak/>
              <w:t>Unit Title</w:t>
            </w:r>
          </w:p>
        </w:tc>
        <w:tc>
          <w:tcPr>
            <w:tcW w:w="5741" w:type="dxa"/>
            <w:gridSpan w:val="2"/>
          </w:tcPr>
          <w:p w:rsidR="00895CE8" w:rsidRPr="00895BFB" w:rsidRDefault="00895CE8" w:rsidP="00895CE8">
            <w:pPr>
              <w:ind w:left="0" w:firstLine="0"/>
              <w:rPr>
                <w:sz w:val="20"/>
                <w:szCs w:val="20"/>
              </w:rPr>
            </w:pPr>
            <w:r w:rsidRPr="00895BFB">
              <w:rPr>
                <w:sz w:val="20"/>
                <w:szCs w:val="20"/>
              </w:rPr>
              <w:t>“Are We… What We Eat?”</w:t>
            </w:r>
          </w:p>
        </w:tc>
        <w:tc>
          <w:tcPr>
            <w:tcW w:w="1956" w:type="dxa"/>
            <w:gridSpan w:val="2"/>
            <w:shd w:val="clear" w:color="auto" w:fill="000000"/>
          </w:tcPr>
          <w:p w:rsidR="00895CE8" w:rsidRPr="00895BFB" w:rsidRDefault="00895CE8" w:rsidP="00895CE8">
            <w:pPr>
              <w:ind w:left="0" w:firstLine="0"/>
              <w:rPr>
                <w:b/>
                <w:sz w:val="20"/>
                <w:szCs w:val="20"/>
              </w:rPr>
            </w:pPr>
            <w:r w:rsidRPr="00895BFB">
              <w:rPr>
                <w:b/>
                <w:sz w:val="24"/>
                <w:szCs w:val="20"/>
              </w:rPr>
              <w:t>Length of Unit</w:t>
            </w:r>
          </w:p>
        </w:tc>
        <w:tc>
          <w:tcPr>
            <w:tcW w:w="4699" w:type="dxa"/>
          </w:tcPr>
          <w:p w:rsidR="00895CE8" w:rsidRPr="00895BFB" w:rsidRDefault="00895CE8" w:rsidP="00895CE8">
            <w:pPr>
              <w:ind w:left="0" w:firstLine="0"/>
              <w:rPr>
                <w:sz w:val="20"/>
                <w:szCs w:val="20"/>
              </w:rPr>
            </w:pPr>
            <w:r w:rsidRPr="00895BFB">
              <w:rPr>
                <w:sz w:val="20"/>
                <w:szCs w:val="20"/>
              </w:rPr>
              <w:t>3-6 weeks = 15-30 days</w:t>
            </w:r>
          </w:p>
        </w:tc>
      </w:tr>
      <w:tr w:rsidR="00895CE8" w:rsidRPr="00D5423D">
        <w:trPr>
          <w:cantSplit/>
          <w:trHeight w:val="615"/>
          <w:jc w:val="center"/>
        </w:trPr>
        <w:tc>
          <w:tcPr>
            <w:tcW w:w="2317" w:type="dxa"/>
            <w:shd w:val="clear" w:color="auto" w:fill="D9D9D9"/>
          </w:tcPr>
          <w:p w:rsidR="00895CE8" w:rsidRPr="00895BFB" w:rsidRDefault="00895CE8" w:rsidP="00895CE8">
            <w:pPr>
              <w:ind w:left="0" w:firstLine="0"/>
              <w:rPr>
                <w:b/>
                <w:sz w:val="20"/>
                <w:szCs w:val="20"/>
              </w:rPr>
            </w:pPr>
            <w:r w:rsidRPr="00895BFB">
              <w:rPr>
                <w:b/>
                <w:sz w:val="20"/>
                <w:szCs w:val="20"/>
              </w:rPr>
              <w:t>Focusing Lens(</w:t>
            </w:r>
            <w:proofErr w:type="spellStart"/>
            <w:r w:rsidRPr="00895BFB">
              <w:rPr>
                <w:b/>
                <w:sz w:val="20"/>
                <w:szCs w:val="20"/>
              </w:rPr>
              <w:t>es</w:t>
            </w:r>
            <w:proofErr w:type="spellEnd"/>
            <w:r w:rsidRPr="00895BFB">
              <w:rPr>
                <w:b/>
                <w:sz w:val="20"/>
                <w:szCs w:val="20"/>
              </w:rPr>
              <w:t>)</w:t>
            </w:r>
          </w:p>
        </w:tc>
        <w:tc>
          <w:tcPr>
            <w:tcW w:w="4320" w:type="dxa"/>
          </w:tcPr>
          <w:p w:rsidR="00895CE8" w:rsidRPr="00895BFB" w:rsidRDefault="00895CE8" w:rsidP="00895CE8">
            <w:pPr>
              <w:pStyle w:val="ColorfulList-Accent11"/>
              <w:spacing w:after="0" w:line="240" w:lineRule="auto"/>
              <w:ind w:left="0"/>
              <w:contextualSpacing w:val="0"/>
              <w:rPr>
                <w:sz w:val="20"/>
                <w:szCs w:val="20"/>
              </w:rPr>
            </w:pPr>
            <w:r w:rsidRPr="00895BFB">
              <w:rPr>
                <w:sz w:val="20"/>
                <w:szCs w:val="20"/>
              </w:rPr>
              <w:t>Practice and Perspective</w:t>
            </w:r>
          </w:p>
        </w:tc>
        <w:tc>
          <w:tcPr>
            <w:tcW w:w="2520" w:type="dxa"/>
            <w:gridSpan w:val="2"/>
            <w:shd w:val="clear" w:color="auto" w:fill="D9D9D9"/>
          </w:tcPr>
          <w:p w:rsidR="00895CE8" w:rsidRPr="00895BFB" w:rsidRDefault="00895CE8" w:rsidP="00895CE8">
            <w:pPr>
              <w:pStyle w:val="ColorfulList-Accent11"/>
              <w:spacing w:after="0" w:line="240" w:lineRule="auto"/>
              <w:ind w:left="0"/>
              <w:contextualSpacing w:val="0"/>
              <w:rPr>
                <w:sz w:val="20"/>
                <w:szCs w:val="20"/>
              </w:rPr>
            </w:pPr>
            <w:r w:rsidRPr="00895BFB">
              <w:rPr>
                <w:b/>
                <w:sz w:val="20"/>
                <w:szCs w:val="20"/>
              </w:rPr>
              <w:t>Standards and Grade Level Expectations Addressed in this Unit</w:t>
            </w:r>
          </w:p>
        </w:tc>
        <w:tc>
          <w:tcPr>
            <w:tcW w:w="5556" w:type="dxa"/>
            <w:gridSpan w:val="2"/>
          </w:tcPr>
          <w:p w:rsidR="00895CE8" w:rsidRPr="00895BFB" w:rsidRDefault="00EC073C" w:rsidP="00895CE8">
            <w:pPr>
              <w:ind w:left="0" w:firstLine="0"/>
              <w:rPr>
                <w:sz w:val="20"/>
                <w:szCs w:val="20"/>
              </w:rPr>
            </w:pPr>
            <w:r>
              <w:rPr>
                <w:noProof/>
                <w:sz w:val="20"/>
                <w:szCs w:val="20"/>
              </w:rPr>
              <w:t>Intentional design of World Langauge units should always include elements from all GLEs.</w:t>
            </w:r>
          </w:p>
        </w:tc>
      </w:tr>
      <w:tr w:rsidR="00895CE8" w:rsidRPr="00D5423D">
        <w:trPr>
          <w:cantSplit/>
          <w:trHeight w:val="22"/>
          <w:jc w:val="center"/>
        </w:trPr>
        <w:tc>
          <w:tcPr>
            <w:tcW w:w="2317" w:type="dxa"/>
            <w:shd w:val="clear" w:color="auto" w:fill="D9D9D9"/>
          </w:tcPr>
          <w:p w:rsidR="00895CE8" w:rsidRPr="00895BFB" w:rsidRDefault="00895CE8" w:rsidP="00895CE8">
            <w:pPr>
              <w:ind w:left="0" w:firstLine="0"/>
              <w:rPr>
                <w:b/>
                <w:sz w:val="20"/>
                <w:szCs w:val="20"/>
              </w:rPr>
            </w:pPr>
            <w:r w:rsidRPr="00895BFB">
              <w:rPr>
                <w:b/>
                <w:sz w:val="20"/>
                <w:szCs w:val="20"/>
              </w:rPr>
              <w:t xml:space="preserve">Inquiry Questions (Engaging- Debatable): </w:t>
            </w:r>
          </w:p>
        </w:tc>
        <w:tc>
          <w:tcPr>
            <w:tcW w:w="12396" w:type="dxa"/>
            <w:gridSpan w:val="5"/>
            <w:tcMar>
              <w:left w:w="115" w:type="dxa"/>
              <w:right w:w="115" w:type="dxa"/>
            </w:tcMar>
          </w:tcPr>
          <w:p w:rsidR="00895CE8" w:rsidRPr="00895BFB" w:rsidRDefault="00895CE8" w:rsidP="00895CE8">
            <w:pPr>
              <w:pStyle w:val="ColorfulList-Accent11"/>
              <w:numPr>
                <w:ilvl w:val="0"/>
                <w:numId w:val="4"/>
              </w:numPr>
              <w:spacing w:after="0" w:line="240" w:lineRule="auto"/>
              <w:contextualSpacing w:val="0"/>
              <w:rPr>
                <w:rFonts w:eastAsia="Times New Roman"/>
                <w:sz w:val="20"/>
                <w:szCs w:val="20"/>
              </w:rPr>
            </w:pPr>
            <w:r w:rsidRPr="00895BFB">
              <w:rPr>
                <w:sz w:val="20"/>
                <w:szCs w:val="20"/>
              </w:rPr>
              <w:t>Does diet drive the culture, or does culture drive the diet?</w:t>
            </w:r>
          </w:p>
          <w:p w:rsidR="00895CE8" w:rsidRPr="00895BFB" w:rsidRDefault="00895CE8" w:rsidP="00895CE8">
            <w:pPr>
              <w:pStyle w:val="ColorfulList-Accent11"/>
              <w:numPr>
                <w:ilvl w:val="0"/>
                <w:numId w:val="4"/>
              </w:numPr>
              <w:spacing w:after="0" w:line="240" w:lineRule="auto"/>
              <w:contextualSpacing w:val="0"/>
              <w:rPr>
                <w:rFonts w:eastAsia="Times New Roman"/>
                <w:sz w:val="20"/>
                <w:szCs w:val="20"/>
              </w:rPr>
            </w:pPr>
            <w:r w:rsidRPr="00895BFB">
              <w:rPr>
                <w:rFonts w:eastAsia="Times New Roman"/>
                <w:sz w:val="20"/>
                <w:szCs w:val="20"/>
              </w:rPr>
              <w:t>Is what I eat a social issue?</w:t>
            </w:r>
          </w:p>
        </w:tc>
      </w:tr>
      <w:tr w:rsidR="00895CE8" w:rsidRPr="00D5423D">
        <w:trPr>
          <w:cantSplit/>
          <w:trHeight w:val="337"/>
          <w:jc w:val="center"/>
        </w:trPr>
        <w:tc>
          <w:tcPr>
            <w:tcW w:w="2317" w:type="dxa"/>
            <w:shd w:val="clear" w:color="auto" w:fill="D9D9D9"/>
          </w:tcPr>
          <w:p w:rsidR="00895CE8" w:rsidRPr="00895BFB" w:rsidRDefault="00895CE8" w:rsidP="00895CE8">
            <w:pPr>
              <w:ind w:left="0" w:firstLine="0"/>
              <w:rPr>
                <w:b/>
                <w:sz w:val="20"/>
                <w:szCs w:val="20"/>
              </w:rPr>
            </w:pPr>
            <w:r w:rsidRPr="00895BFB">
              <w:rPr>
                <w:b/>
                <w:sz w:val="20"/>
                <w:szCs w:val="20"/>
              </w:rPr>
              <w:t>Unit Strands</w:t>
            </w:r>
          </w:p>
        </w:tc>
        <w:tc>
          <w:tcPr>
            <w:tcW w:w="12396" w:type="dxa"/>
            <w:gridSpan w:val="5"/>
          </w:tcPr>
          <w:p w:rsidR="00895CE8" w:rsidRPr="00895BFB" w:rsidRDefault="00895CE8" w:rsidP="00895CE8">
            <w:pPr>
              <w:ind w:left="0" w:firstLine="0"/>
              <w:rPr>
                <w:sz w:val="20"/>
                <w:szCs w:val="20"/>
              </w:rPr>
            </w:pPr>
            <w:r w:rsidRPr="00895BFB">
              <w:rPr>
                <w:sz w:val="20"/>
                <w:szCs w:val="20"/>
              </w:rPr>
              <w:t>1.  Communication in Languages Other Than English</w:t>
            </w:r>
            <w:r w:rsidRPr="00895BFB">
              <w:rPr>
                <w:sz w:val="20"/>
                <w:szCs w:val="20"/>
              </w:rPr>
              <w:tab/>
            </w:r>
            <w:r w:rsidRPr="00895BFB">
              <w:rPr>
                <w:sz w:val="20"/>
                <w:szCs w:val="20"/>
              </w:rPr>
              <w:tab/>
            </w:r>
            <w:r w:rsidRPr="00895BFB">
              <w:rPr>
                <w:sz w:val="20"/>
                <w:szCs w:val="20"/>
              </w:rPr>
              <w:tab/>
              <w:t>2.  Knowledge and Understanding of Other Cultures</w:t>
            </w:r>
          </w:p>
          <w:p w:rsidR="00895CE8" w:rsidRPr="00895BFB" w:rsidRDefault="00895CE8" w:rsidP="00895CE8">
            <w:pPr>
              <w:ind w:left="0" w:firstLine="0"/>
              <w:rPr>
                <w:sz w:val="20"/>
                <w:szCs w:val="20"/>
              </w:rPr>
            </w:pPr>
            <w:r w:rsidRPr="00895BFB">
              <w:rPr>
                <w:sz w:val="20"/>
                <w:szCs w:val="20"/>
              </w:rPr>
              <w:t>3.  Connections with Other Disciplines and Information Acquisition</w:t>
            </w:r>
            <w:r w:rsidRPr="00895BFB">
              <w:rPr>
                <w:sz w:val="20"/>
                <w:szCs w:val="20"/>
              </w:rPr>
              <w:tab/>
              <w:t>4.  Comparisons to Develop Insight into the Nature of Language and Culture</w:t>
            </w:r>
          </w:p>
        </w:tc>
      </w:tr>
      <w:tr w:rsidR="00895CE8" w:rsidRPr="00D5423D">
        <w:trPr>
          <w:cantSplit/>
          <w:trHeight w:val="34"/>
          <w:jc w:val="center"/>
        </w:trPr>
        <w:tc>
          <w:tcPr>
            <w:tcW w:w="2317" w:type="dxa"/>
            <w:shd w:val="clear" w:color="auto" w:fill="D9D9D9"/>
          </w:tcPr>
          <w:p w:rsidR="00895CE8" w:rsidRPr="00895BFB" w:rsidRDefault="00895CE8" w:rsidP="00895CE8">
            <w:pPr>
              <w:ind w:left="0" w:firstLine="0"/>
              <w:rPr>
                <w:b/>
                <w:sz w:val="20"/>
                <w:szCs w:val="20"/>
              </w:rPr>
            </w:pPr>
            <w:r w:rsidRPr="00895BFB">
              <w:rPr>
                <w:b/>
                <w:sz w:val="20"/>
                <w:szCs w:val="20"/>
              </w:rPr>
              <w:t>Foundational Concepts in World Languages</w:t>
            </w:r>
          </w:p>
        </w:tc>
        <w:tc>
          <w:tcPr>
            <w:tcW w:w="12396" w:type="dxa"/>
            <w:gridSpan w:val="5"/>
          </w:tcPr>
          <w:p w:rsidR="00895CE8" w:rsidRPr="00895BFB" w:rsidRDefault="00895CE8" w:rsidP="00895CE8">
            <w:pPr>
              <w:ind w:left="0" w:firstLine="0"/>
              <w:rPr>
                <w:sz w:val="20"/>
                <w:szCs w:val="20"/>
              </w:rPr>
            </w:pPr>
            <w:r w:rsidRPr="00895BFB">
              <w:rPr>
                <w:sz w:val="20"/>
                <w:szCs w:val="20"/>
              </w:rPr>
              <w:t>Interpersonal Communication, Interpretive Communication, Presentational Communication, Cultures, Connections, Comparisons</w:t>
            </w:r>
          </w:p>
        </w:tc>
      </w:tr>
      <w:tr w:rsidR="00895CE8" w:rsidRPr="00D5423D">
        <w:trPr>
          <w:cantSplit/>
          <w:trHeight w:val="34"/>
          <w:jc w:val="center"/>
        </w:trPr>
        <w:tc>
          <w:tcPr>
            <w:tcW w:w="2317" w:type="dxa"/>
            <w:shd w:val="clear" w:color="auto" w:fill="D9D9D9"/>
          </w:tcPr>
          <w:p w:rsidR="00895CE8" w:rsidRPr="00895BFB" w:rsidRDefault="00895CE8" w:rsidP="00895CE8">
            <w:pPr>
              <w:ind w:left="0" w:firstLine="0"/>
              <w:rPr>
                <w:b/>
                <w:sz w:val="20"/>
                <w:szCs w:val="20"/>
              </w:rPr>
            </w:pPr>
            <w:r w:rsidRPr="00895BFB">
              <w:rPr>
                <w:b/>
                <w:sz w:val="20"/>
                <w:szCs w:val="20"/>
              </w:rPr>
              <w:t>Concepts</w:t>
            </w:r>
          </w:p>
        </w:tc>
        <w:tc>
          <w:tcPr>
            <w:tcW w:w="12396" w:type="dxa"/>
            <w:gridSpan w:val="5"/>
          </w:tcPr>
          <w:p w:rsidR="00895CE8" w:rsidRPr="00895BFB" w:rsidRDefault="00895CE8" w:rsidP="00EC073C">
            <w:pPr>
              <w:ind w:left="0" w:firstLine="0"/>
              <w:rPr>
                <w:sz w:val="20"/>
                <w:szCs w:val="20"/>
              </w:rPr>
            </w:pPr>
            <w:r w:rsidRPr="00895BFB">
              <w:rPr>
                <w:sz w:val="20"/>
                <w:szCs w:val="20"/>
              </w:rPr>
              <w:t>Social awareness, social challenges, globalization, health, economics, nutrition/diet</w:t>
            </w:r>
          </w:p>
        </w:tc>
      </w:tr>
    </w:tbl>
    <w:p w:rsidR="00895CE8" w:rsidRPr="00A86B29" w:rsidRDefault="00895CE8" w:rsidP="00895CE8">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895CE8" w:rsidRPr="00D5423D">
        <w:trPr>
          <w:jc w:val="center"/>
        </w:trPr>
        <w:tc>
          <w:tcPr>
            <w:tcW w:w="4976" w:type="dxa"/>
            <w:shd w:val="clear" w:color="auto" w:fill="D9D9D9"/>
            <w:tcMar>
              <w:top w:w="115" w:type="dxa"/>
              <w:left w:w="115" w:type="dxa"/>
              <w:bottom w:w="115" w:type="dxa"/>
              <w:right w:w="115" w:type="dxa"/>
            </w:tcMar>
          </w:tcPr>
          <w:p w:rsidR="00895CE8" w:rsidRPr="00895BFB" w:rsidRDefault="00895CE8" w:rsidP="00895CE8">
            <w:pPr>
              <w:ind w:left="0" w:firstLine="0"/>
              <w:rPr>
                <w:i/>
                <w:sz w:val="20"/>
                <w:szCs w:val="20"/>
              </w:rPr>
            </w:pPr>
            <w:r w:rsidRPr="00895BFB">
              <w:rPr>
                <w:b/>
                <w:sz w:val="24"/>
                <w:szCs w:val="20"/>
              </w:rPr>
              <w:t>Generalizations</w:t>
            </w:r>
          </w:p>
          <w:p w:rsidR="00895CE8" w:rsidRPr="00895BFB" w:rsidRDefault="00895CE8" w:rsidP="00895CE8">
            <w:pPr>
              <w:ind w:left="0" w:firstLine="0"/>
              <w:rPr>
                <w:i/>
                <w:sz w:val="20"/>
                <w:szCs w:val="20"/>
              </w:rPr>
            </w:pPr>
            <w:r w:rsidRPr="00895BFB">
              <w:rPr>
                <w:b/>
                <w:sz w:val="20"/>
                <w:szCs w:val="20"/>
              </w:rPr>
              <w:t xml:space="preserve">My students will </w:t>
            </w:r>
            <w:r w:rsidRPr="00895BFB">
              <w:rPr>
                <w:b/>
                <w:sz w:val="28"/>
                <w:szCs w:val="20"/>
              </w:rPr>
              <w:t>Understand</w:t>
            </w:r>
            <w:r w:rsidRPr="00895BFB">
              <w:rPr>
                <w:b/>
                <w:sz w:val="24"/>
                <w:szCs w:val="20"/>
              </w:rPr>
              <w:t xml:space="preserve"> </w:t>
            </w:r>
            <w:r w:rsidRPr="00895BFB">
              <w:rPr>
                <w:b/>
                <w:sz w:val="20"/>
                <w:szCs w:val="20"/>
              </w:rPr>
              <w:t>that…</w:t>
            </w:r>
          </w:p>
        </w:tc>
        <w:tc>
          <w:tcPr>
            <w:tcW w:w="9737" w:type="dxa"/>
            <w:gridSpan w:val="2"/>
            <w:shd w:val="clear" w:color="auto" w:fill="D9D9D9"/>
          </w:tcPr>
          <w:p w:rsidR="00895CE8" w:rsidRPr="00895BFB" w:rsidRDefault="00895CE8" w:rsidP="00895CE8">
            <w:pPr>
              <w:ind w:left="0" w:firstLine="0"/>
              <w:jc w:val="center"/>
              <w:rPr>
                <w:i/>
                <w:szCs w:val="20"/>
              </w:rPr>
            </w:pPr>
            <w:r w:rsidRPr="00895BFB">
              <w:rPr>
                <w:b/>
                <w:sz w:val="24"/>
                <w:szCs w:val="20"/>
              </w:rPr>
              <w:t>Guiding Questions</w:t>
            </w:r>
          </w:p>
          <w:p w:rsidR="00895CE8" w:rsidRPr="00895BFB" w:rsidRDefault="00895CE8" w:rsidP="00895CE8">
            <w:pPr>
              <w:tabs>
                <w:tab w:val="left" w:pos="1553"/>
                <w:tab w:val="left" w:pos="6683"/>
              </w:tabs>
              <w:ind w:left="0" w:firstLine="0"/>
              <w:rPr>
                <w:i/>
                <w:sz w:val="20"/>
                <w:szCs w:val="20"/>
              </w:rPr>
            </w:pPr>
            <w:r w:rsidRPr="00895BFB">
              <w:rPr>
                <w:b/>
                <w:sz w:val="20"/>
                <w:szCs w:val="20"/>
              </w:rPr>
              <w:tab/>
              <w:t>Factual</w:t>
            </w:r>
            <w:r w:rsidRPr="00895BFB">
              <w:rPr>
                <w:b/>
                <w:sz w:val="20"/>
                <w:szCs w:val="20"/>
              </w:rPr>
              <w:tab/>
              <w:t>Conceptual</w:t>
            </w:r>
          </w:p>
        </w:tc>
      </w:tr>
      <w:tr w:rsidR="00895CE8" w:rsidRPr="00D5423D">
        <w:trPr>
          <w:cantSplit/>
          <w:jc w:val="center"/>
        </w:trPr>
        <w:tc>
          <w:tcPr>
            <w:tcW w:w="4976" w:type="dxa"/>
            <w:shd w:val="clear" w:color="auto" w:fill="auto"/>
            <w:tcMar>
              <w:top w:w="115" w:type="dxa"/>
              <w:left w:w="115" w:type="dxa"/>
              <w:bottom w:w="115" w:type="dxa"/>
              <w:right w:w="115" w:type="dxa"/>
            </w:tcMar>
          </w:tcPr>
          <w:p w:rsidR="00895CE8" w:rsidRPr="00895BFB" w:rsidRDefault="00895CE8" w:rsidP="00895CE8">
            <w:pPr>
              <w:ind w:left="0" w:firstLine="0"/>
              <w:rPr>
                <w:sz w:val="20"/>
                <w:szCs w:val="20"/>
              </w:rPr>
            </w:pPr>
            <w:r w:rsidRPr="00895BFB">
              <w:rPr>
                <w:sz w:val="20"/>
                <w:szCs w:val="20"/>
              </w:rPr>
              <w:t>Economic conditions of a cultural region may influence the nutritional and diet choices of a culture and can provide a crucial component to understanding the culture. (WL09-IL-S.2-GLE.1 and WL09-IL-S.3-GLE.1 and (WL09-IL-S.4-GLE.2)</w:t>
            </w:r>
          </w:p>
        </w:tc>
        <w:tc>
          <w:tcPr>
            <w:tcW w:w="4832" w:type="dxa"/>
            <w:shd w:val="clear" w:color="auto" w:fill="auto"/>
          </w:tcPr>
          <w:p w:rsidR="00895CE8" w:rsidRDefault="00895CE8" w:rsidP="00895CE8">
            <w:pPr>
              <w:ind w:left="360"/>
              <w:rPr>
                <w:sz w:val="20"/>
                <w:szCs w:val="20"/>
              </w:rPr>
            </w:pPr>
            <w:r>
              <w:rPr>
                <w:b/>
                <w:sz w:val="20"/>
                <w:szCs w:val="20"/>
              </w:rPr>
              <w:t>Comparisons: (WL09-NH</w:t>
            </w:r>
            <w:r w:rsidRPr="00BE0BD9">
              <w:rPr>
                <w:b/>
                <w:sz w:val="20"/>
                <w:szCs w:val="20"/>
              </w:rPr>
              <w:t>-S.4-GLE.2)</w:t>
            </w:r>
          </w:p>
          <w:p w:rsidR="00895CE8" w:rsidRPr="006D33E4" w:rsidRDefault="00895CE8" w:rsidP="00895CE8">
            <w:pPr>
              <w:ind w:left="360"/>
            </w:pPr>
            <w:r w:rsidRPr="006D33E4">
              <w:t>What are the foods customarily eaten in that culture?</w:t>
            </w:r>
          </w:p>
          <w:p w:rsidR="00895CE8" w:rsidRPr="006D33E4" w:rsidRDefault="00895CE8" w:rsidP="00895CE8">
            <w:pPr>
              <w:ind w:left="360"/>
            </w:pPr>
            <w:r>
              <w:t xml:space="preserve"> What are some recognized diet differences of groups within the target culture? </w:t>
            </w:r>
            <w:r w:rsidRPr="006D33E4">
              <w:t>What is the average income of the culture?</w:t>
            </w:r>
          </w:p>
          <w:p w:rsidR="00895CE8" w:rsidRPr="006D33E4" w:rsidRDefault="00895CE8" w:rsidP="00895CE8">
            <w:pPr>
              <w:ind w:left="360"/>
            </w:pPr>
            <w:r w:rsidRPr="006D33E4">
              <w:t>What is the poverty level of the culture?</w:t>
            </w:r>
          </w:p>
        </w:tc>
        <w:tc>
          <w:tcPr>
            <w:tcW w:w="4905" w:type="dxa"/>
            <w:shd w:val="clear" w:color="auto" w:fill="auto"/>
          </w:tcPr>
          <w:p w:rsidR="00895CE8" w:rsidRPr="006D33E4" w:rsidRDefault="00895CE8" w:rsidP="00895CE8">
            <w:pPr>
              <w:ind w:left="360"/>
            </w:pPr>
            <w:r w:rsidRPr="006D33E4">
              <w:t>What drives diet: economics or choices?</w:t>
            </w:r>
          </w:p>
          <w:p w:rsidR="00895CE8" w:rsidRPr="006D33E4" w:rsidRDefault="00895CE8" w:rsidP="00895CE8">
            <w:pPr>
              <w:ind w:left="360"/>
            </w:pPr>
            <w:r w:rsidRPr="006D33E4">
              <w:t>What is poverty? Is poverty a matter of perspective?</w:t>
            </w:r>
          </w:p>
          <w:p w:rsidR="00895CE8" w:rsidRPr="006D33E4" w:rsidRDefault="00895CE8" w:rsidP="00895CE8">
            <w:pPr>
              <w:ind w:left="360"/>
            </w:pPr>
            <w:r w:rsidRPr="006D33E4">
              <w:t xml:space="preserve">What is wealth? </w:t>
            </w:r>
          </w:p>
          <w:p w:rsidR="00895CE8" w:rsidRPr="006D33E4" w:rsidRDefault="00895CE8" w:rsidP="00895CE8">
            <w:pPr>
              <w:ind w:left="360"/>
            </w:pPr>
            <w:r w:rsidRPr="006D33E4">
              <w:t>Is good nutrition valued?</w:t>
            </w:r>
          </w:p>
          <w:p w:rsidR="00895CE8" w:rsidRPr="006D33E4" w:rsidRDefault="00895CE8" w:rsidP="00895CE8">
            <w:pPr>
              <w:ind w:left="360"/>
            </w:pPr>
            <w:r w:rsidRPr="006D33E4">
              <w:t>How does understanding the relationship between the practices and the perspectives of a given culture allow people to communicate with the people of that culture?</w:t>
            </w:r>
          </w:p>
          <w:p w:rsidR="00895CE8" w:rsidRPr="006D33E4" w:rsidRDefault="00895CE8" w:rsidP="00895CE8">
            <w:pPr>
              <w:ind w:left="360"/>
            </w:pPr>
            <w:r w:rsidRPr="006D33E4">
              <w:t xml:space="preserve">How does language study create student’s understanding and appreciation of the multilingual world? </w:t>
            </w:r>
          </w:p>
        </w:tc>
      </w:tr>
      <w:tr w:rsidR="00895CE8" w:rsidRPr="00D5423D">
        <w:trPr>
          <w:cantSplit/>
          <w:jc w:val="center"/>
        </w:trPr>
        <w:tc>
          <w:tcPr>
            <w:tcW w:w="4976" w:type="dxa"/>
            <w:shd w:val="clear" w:color="auto" w:fill="auto"/>
            <w:tcMar>
              <w:top w:w="115" w:type="dxa"/>
              <w:left w:w="115" w:type="dxa"/>
              <w:bottom w:w="115" w:type="dxa"/>
              <w:right w:w="115" w:type="dxa"/>
            </w:tcMar>
          </w:tcPr>
          <w:p w:rsidR="00895CE8" w:rsidRPr="00895BFB" w:rsidRDefault="00895CE8" w:rsidP="00895CE8">
            <w:pPr>
              <w:ind w:left="0" w:firstLine="0"/>
              <w:rPr>
                <w:sz w:val="20"/>
                <w:szCs w:val="20"/>
              </w:rPr>
            </w:pPr>
            <w:r w:rsidRPr="00895BFB">
              <w:rPr>
                <w:sz w:val="20"/>
                <w:szCs w:val="20"/>
              </w:rPr>
              <w:lastRenderedPageBreak/>
              <w:t xml:space="preserve">Culturally influenced nutrition and diet choices can contribute to the overall health and well-being of a culture. (WL09-IL-S.2-GLE.1) </w:t>
            </w:r>
          </w:p>
        </w:tc>
        <w:tc>
          <w:tcPr>
            <w:tcW w:w="4832" w:type="dxa"/>
            <w:shd w:val="clear" w:color="auto" w:fill="auto"/>
          </w:tcPr>
          <w:p w:rsidR="00895CE8" w:rsidRDefault="00895CE8" w:rsidP="00895CE8">
            <w:pPr>
              <w:ind w:left="360"/>
              <w:rPr>
                <w:sz w:val="20"/>
                <w:szCs w:val="20"/>
              </w:rPr>
            </w:pPr>
            <w:r>
              <w:rPr>
                <w:b/>
                <w:sz w:val="20"/>
                <w:szCs w:val="20"/>
              </w:rPr>
              <w:t>Comparisons: (WL09-NH</w:t>
            </w:r>
            <w:r w:rsidRPr="00BE0BD9">
              <w:rPr>
                <w:b/>
                <w:sz w:val="20"/>
                <w:szCs w:val="20"/>
              </w:rPr>
              <w:t>-S.4-GLE.2)</w:t>
            </w:r>
          </w:p>
          <w:p w:rsidR="00895CE8" w:rsidRPr="006D33E4" w:rsidRDefault="00895CE8" w:rsidP="00895CE8">
            <w:pPr>
              <w:ind w:left="360"/>
            </w:pPr>
            <w:r w:rsidRPr="006D33E4">
              <w:t>What are the most prevalent health issues and diseases within the culture?</w:t>
            </w:r>
          </w:p>
          <w:p w:rsidR="00895CE8" w:rsidRPr="006D33E4" w:rsidRDefault="00895CE8" w:rsidP="00895CE8">
            <w:pPr>
              <w:ind w:left="360"/>
            </w:pPr>
            <w:r w:rsidRPr="006D33E4">
              <w:t>Is the typical diet dependent on imports?</w:t>
            </w:r>
          </w:p>
          <w:p w:rsidR="00895CE8" w:rsidRPr="006D33E4" w:rsidRDefault="00895CE8" w:rsidP="00895CE8">
            <w:pPr>
              <w:ind w:left="360"/>
            </w:pPr>
            <w:r>
              <w:t xml:space="preserve"> What health issues are often attributed (in research and writings) to diet choices in the target culture?</w:t>
            </w:r>
          </w:p>
        </w:tc>
        <w:tc>
          <w:tcPr>
            <w:tcW w:w="4905" w:type="dxa"/>
            <w:shd w:val="clear" w:color="auto" w:fill="auto"/>
          </w:tcPr>
          <w:p w:rsidR="00895CE8" w:rsidRPr="006D33E4" w:rsidRDefault="00895CE8" w:rsidP="00895CE8">
            <w:pPr>
              <w:ind w:left="360"/>
            </w:pPr>
            <w:r w:rsidRPr="006D33E4">
              <w:t>Does diet drive the culture, or does culture drive the diet?</w:t>
            </w:r>
          </w:p>
          <w:p w:rsidR="00895CE8" w:rsidRPr="006D33E4" w:rsidRDefault="00895CE8" w:rsidP="00895CE8">
            <w:pPr>
              <w:ind w:left="360"/>
            </w:pPr>
            <w:r w:rsidRPr="006D33E4">
              <w:t>In what way does the study of another language develop an individual’s ability to analyze critical thinking skills?</w:t>
            </w:r>
          </w:p>
        </w:tc>
      </w:tr>
      <w:tr w:rsidR="00895CE8" w:rsidRPr="00D5423D">
        <w:trPr>
          <w:cantSplit/>
          <w:jc w:val="center"/>
        </w:trPr>
        <w:tc>
          <w:tcPr>
            <w:tcW w:w="4976" w:type="dxa"/>
            <w:shd w:val="clear" w:color="auto" w:fill="auto"/>
            <w:tcMar>
              <w:top w:w="115" w:type="dxa"/>
              <w:left w:w="115" w:type="dxa"/>
              <w:bottom w:w="115" w:type="dxa"/>
              <w:right w:w="115" w:type="dxa"/>
            </w:tcMar>
          </w:tcPr>
          <w:p w:rsidR="00895CE8" w:rsidRPr="00895BFB" w:rsidRDefault="00895CE8" w:rsidP="00895CE8">
            <w:pPr>
              <w:ind w:left="0" w:firstLine="0"/>
              <w:rPr>
                <w:sz w:val="20"/>
                <w:szCs w:val="20"/>
              </w:rPr>
            </w:pPr>
            <w:r w:rsidRPr="00895BFB">
              <w:rPr>
                <w:sz w:val="20"/>
                <w:szCs w:val="20"/>
              </w:rPr>
              <w:t>The causal relationship between a country’s nutritional habits, health of its citizens, and its economy can sway the country’s perspective on the importance of nutrition as a priority. (WL09-IL-S.2-GLE.1)</w:t>
            </w:r>
          </w:p>
        </w:tc>
        <w:tc>
          <w:tcPr>
            <w:tcW w:w="4832" w:type="dxa"/>
            <w:shd w:val="clear" w:color="auto" w:fill="auto"/>
          </w:tcPr>
          <w:p w:rsidR="00895CE8" w:rsidRDefault="00895CE8" w:rsidP="00895CE8">
            <w:pPr>
              <w:ind w:left="360"/>
              <w:rPr>
                <w:sz w:val="20"/>
                <w:szCs w:val="20"/>
              </w:rPr>
            </w:pPr>
            <w:r>
              <w:rPr>
                <w:b/>
                <w:sz w:val="20"/>
                <w:szCs w:val="20"/>
              </w:rPr>
              <w:t>Comparisons: (WL09-NH</w:t>
            </w:r>
            <w:r w:rsidRPr="00BE0BD9">
              <w:rPr>
                <w:b/>
                <w:sz w:val="20"/>
                <w:szCs w:val="20"/>
              </w:rPr>
              <w:t>-S.4-GLE.2)</w:t>
            </w:r>
          </w:p>
          <w:p w:rsidR="00895CE8" w:rsidRPr="006D33E4" w:rsidRDefault="00895CE8" w:rsidP="00895CE8">
            <w:pPr>
              <w:ind w:left="360"/>
            </w:pPr>
            <w:r w:rsidRPr="006D33E4">
              <w:t>What are the country’s food imports and exports?</w:t>
            </w:r>
          </w:p>
          <w:p w:rsidR="00895CE8" w:rsidRPr="006D33E4" w:rsidRDefault="00895CE8" w:rsidP="00895CE8">
            <w:pPr>
              <w:ind w:left="360"/>
            </w:pPr>
            <w:r w:rsidRPr="006D33E4">
              <w:t>What is typical diet of a middle-class person?</w:t>
            </w:r>
          </w:p>
          <w:p w:rsidR="00895CE8" w:rsidRPr="006D33E4" w:rsidRDefault="00895CE8" w:rsidP="00895CE8">
            <w:pPr>
              <w:ind w:left="360"/>
            </w:pPr>
            <w:r w:rsidRPr="006D33E4">
              <w:t>What are the typical health issues of a middle-class person?</w:t>
            </w:r>
          </w:p>
        </w:tc>
        <w:tc>
          <w:tcPr>
            <w:tcW w:w="4905" w:type="dxa"/>
            <w:shd w:val="clear" w:color="auto" w:fill="auto"/>
          </w:tcPr>
          <w:p w:rsidR="00895CE8" w:rsidRPr="006D33E4" w:rsidRDefault="00895CE8" w:rsidP="00895CE8">
            <w:pPr>
              <w:ind w:left="360"/>
            </w:pPr>
            <w:r w:rsidRPr="006D33E4">
              <w:t>How does the study of a culture help one understand and appreciate other cultures' world views and unique ways of living and behavior patterns? (WL09-IL-S.2-GLE.1-IQ.2)</w:t>
            </w:r>
          </w:p>
          <w:p w:rsidR="00895CE8" w:rsidRPr="006D33E4" w:rsidRDefault="00895CE8" w:rsidP="00895CE8">
            <w:pPr>
              <w:ind w:left="360"/>
            </w:pPr>
            <w:r w:rsidRPr="006D33E4">
              <w:t>Do borders define a person?</w:t>
            </w:r>
          </w:p>
          <w:p w:rsidR="00895CE8" w:rsidRPr="006D33E4" w:rsidRDefault="00895CE8" w:rsidP="00895CE8">
            <w:pPr>
              <w:ind w:left="360"/>
            </w:pPr>
            <w:r w:rsidRPr="006D33E4">
              <w:t>How do imports change regional diets?</w:t>
            </w:r>
          </w:p>
        </w:tc>
      </w:tr>
      <w:tr w:rsidR="00895CE8" w:rsidRPr="00D5423D">
        <w:trPr>
          <w:cantSplit/>
          <w:jc w:val="center"/>
        </w:trPr>
        <w:tc>
          <w:tcPr>
            <w:tcW w:w="4976" w:type="dxa"/>
            <w:shd w:val="clear" w:color="auto" w:fill="auto"/>
            <w:tcMar>
              <w:top w:w="115" w:type="dxa"/>
              <w:left w:w="115" w:type="dxa"/>
              <w:bottom w:w="115" w:type="dxa"/>
              <w:right w:w="115" w:type="dxa"/>
            </w:tcMar>
          </w:tcPr>
          <w:p w:rsidR="00895CE8" w:rsidRPr="00895BFB" w:rsidRDefault="00895CE8" w:rsidP="00895CE8">
            <w:pPr>
              <w:ind w:left="0" w:firstLine="0"/>
              <w:rPr>
                <w:sz w:val="20"/>
                <w:szCs w:val="20"/>
              </w:rPr>
            </w:pPr>
            <w:r w:rsidRPr="00895BFB">
              <w:rPr>
                <w:sz w:val="20"/>
                <w:szCs w:val="20"/>
              </w:rPr>
              <w:t>Regional and cultural artwork can shape public opinion (perspective) regarding the possible connections between social challenges and quality of health and nutrition. (WL09-IL-S.2-GLE.2 and WL09-IL-S.3-GLE.1)</w:t>
            </w:r>
          </w:p>
        </w:tc>
        <w:tc>
          <w:tcPr>
            <w:tcW w:w="4832" w:type="dxa"/>
            <w:shd w:val="clear" w:color="auto" w:fill="auto"/>
          </w:tcPr>
          <w:p w:rsidR="00895CE8" w:rsidRDefault="00895CE8" w:rsidP="00895CE8">
            <w:pPr>
              <w:ind w:left="360"/>
              <w:rPr>
                <w:sz w:val="20"/>
                <w:szCs w:val="20"/>
              </w:rPr>
            </w:pPr>
            <w:r>
              <w:rPr>
                <w:b/>
                <w:sz w:val="20"/>
                <w:szCs w:val="20"/>
              </w:rPr>
              <w:t>Comparisons: (WL09-NH</w:t>
            </w:r>
            <w:r w:rsidRPr="00BE0BD9">
              <w:rPr>
                <w:b/>
                <w:sz w:val="20"/>
                <w:szCs w:val="20"/>
              </w:rPr>
              <w:t>-S.4-GLE.2)</w:t>
            </w:r>
          </w:p>
          <w:p w:rsidR="00895CE8" w:rsidRPr="006D33E4" w:rsidRDefault="00895CE8" w:rsidP="00895CE8">
            <w:pPr>
              <w:ind w:left="360"/>
            </w:pPr>
            <w:r w:rsidRPr="006D33E4">
              <w:t>What are popular artists/authors of the region?</w:t>
            </w:r>
          </w:p>
          <w:p w:rsidR="00895CE8" w:rsidRPr="006D33E4" w:rsidRDefault="00895CE8" w:rsidP="00895CE8">
            <w:pPr>
              <w:ind w:left="360"/>
            </w:pPr>
            <w:r w:rsidRPr="006D33E4">
              <w:t>What are health and nutritional concerns for the region?</w:t>
            </w:r>
          </w:p>
          <w:p w:rsidR="00895CE8" w:rsidRPr="006D33E4" w:rsidRDefault="00895CE8" w:rsidP="00895CE8">
            <w:pPr>
              <w:ind w:left="360"/>
            </w:pPr>
            <w:r w:rsidRPr="006D33E4">
              <w:t>What are different genres of art?</w:t>
            </w:r>
          </w:p>
        </w:tc>
        <w:tc>
          <w:tcPr>
            <w:tcW w:w="4905" w:type="dxa"/>
            <w:shd w:val="clear" w:color="auto" w:fill="auto"/>
          </w:tcPr>
          <w:p w:rsidR="00895CE8" w:rsidRPr="006D33E4" w:rsidRDefault="00895CE8" w:rsidP="00895CE8">
            <w:pPr>
              <w:ind w:left="360"/>
            </w:pPr>
            <w:r w:rsidRPr="006D33E4">
              <w:t xml:space="preserve">How can art raise social awareness about health and nutrition? </w:t>
            </w:r>
          </w:p>
          <w:p w:rsidR="00895CE8" w:rsidRPr="006D33E4" w:rsidRDefault="00895CE8" w:rsidP="00895CE8">
            <w:pPr>
              <w:ind w:left="360"/>
            </w:pPr>
            <w:r w:rsidRPr="006D33E4">
              <w:t>Why is art one of the preferred forms of expression about social issues?</w:t>
            </w:r>
          </w:p>
          <w:p w:rsidR="00895CE8" w:rsidRPr="006D33E4" w:rsidRDefault="00895CE8" w:rsidP="00895CE8">
            <w:pPr>
              <w:ind w:left="360"/>
            </w:pPr>
            <w:r w:rsidRPr="006D33E4">
              <w:t>What messages are reflected through a culture’s media? (WL09-IL-S.2-GLE.2-IQ.2)</w:t>
            </w:r>
          </w:p>
          <w:p w:rsidR="00895CE8" w:rsidRPr="006D33E4" w:rsidRDefault="00895CE8" w:rsidP="00895CE8">
            <w:pPr>
              <w:ind w:left="360"/>
            </w:pPr>
            <w:r w:rsidRPr="006D33E4">
              <w:t>Why have expressive products been such an integral part of every culture?</w:t>
            </w:r>
          </w:p>
          <w:p w:rsidR="00895CE8" w:rsidRPr="006D33E4" w:rsidRDefault="00895CE8" w:rsidP="00895CE8">
            <w:pPr>
              <w:ind w:left="360"/>
            </w:pPr>
            <w:r w:rsidRPr="006D33E4">
              <w:t>What is the value of an authentic source?</w:t>
            </w:r>
          </w:p>
          <w:p w:rsidR="00895CE8" w:rsidRPr="006D33E4" w:rsidRDefault="00895CE8" w:rsidP="00895CE8">
            <w:pPr>
              <w:ind w:left="360"/>
            </w:pPr>
            <w:r w:rsidRPr="006D33E4">
              <w:t>What is the impact of point of view?</w:t>
            </w:r>
          </w:p>
        </w:tc>
      </w:tr>
    </w:tbl>
    <w:p w:rsidR="00895CE8" w:rsidRDefault="00895CE8">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317"/>
        <w:gridCol w:w="5093"/>
        <w:gridCol w:w="7303"/>
      </w:tblGrid>
      <w:tr w:rsidR="00895CE8" w:rsidRPr="00D5423D">
        <w:trPr>
          <w:cantSplit/>
          <w:trHeight w:val="18"/>
          <w:jc w:val="center"/>
        </w:trPr>
        <w:tc>
          <w:tcPr>
            <w:tcW w:w="7410" w:type="dxa"/>
            <w:gridSpan w:val="2"/>
            <w:shd w:val="clear" w:color="auto" w:fill="D9D9D9"/>
            <w:tcMar>
              <w:top w:w="115" w:type="dxa"/>
              <w:left w:w="115" w:type="dxa"/>
              <w:bottom w:w="115" w:type="dxa"/>
              <w:right w:w="115" w:type="dxa"/>
            </w:tcMar>
          </w:tcPr>
          <w:p w:rsidR="00895CE8" w:rsidRPr="00895BFB" w:rsidRDefault="00895CE8" w:rsidP="00895CE8">
            <w:pPr>
              <w:ind w:left="0" w:firstLine="0"/>
              <w:rPr>
                <w:b/>
                <w:sz w:val="24"/>
                <w:szCs w:val="20"/>
              </w:rPr>
            </w:pPr>
            <w:r>
              <w:lastRenderedPageBreak/>
              <w:br w:type="page"/>
            </w:r>
            <w:r w:rsidRPr="00895BFB">
              <w:rPr>
                <w:b/>
                <w:sz w:val="24"/>
                <w:szCs w:val="20"/>
              </w:rPr>
              <w:t xml:space="preserve">Critical Content: </w:t>
            </w:r>
          </w:p>
          <w:p w:rsidR="00895CE8" w:rsidRPr="00895BFB" w:rsidRDefault="00895CE8" w:rsidP="00895CE8">
            <w:pPr>
              <w:ind w:left="0" w:firstLine="0"/>
              <w:rPr>
                <w:b/>
                <w:sz w:val="20"/>
                <w:szCs w:val="20"/>
              </w:rPr>
            </w:pPr>
            <w:r w:rsidRPr="00895BFB">
              <w:rPr>
                <w:b/>
                <w:sz w:val="20"/>
                <w:szCs w:val="20"/>
              </w:rPr>
              <w:t xml:space="preserve">My students will </w:t>
            </w:r>
            <w:r w:rsidRPr="00895BFB">
              <w:rPr>
                <w:b/>
                <w:sz w:val="28"/>
                <w:szCs w:val="20"/>
              </w:rPr>
              <w:t>Know</w:t>
            </w:r>
            <w:r w:rsidRPr="00895BFB">
              <w:rPr>
                <w:b/>
                <w:sz w:val="20"/>
                <w:szCs w:val="20"/>
              </w:rPr>
              <w:t>…</w:t>
            </w:r>
          </w:p>
        </w:tc>
        <w:tc>
          <w:tcPr>
            <w:tcW w:w="7303" w:type="dxa"/>
            <w:shd w:val="clear" w:color="auto" w:fill="D9D9D9"/>
          </w:tcPr>
          <w:p w:rsidR="00895CE8" w:rsidRPr="00895BFB" w:rsidRDefault="00895CE8" w:rsidP="00895CE8">
            <w:pPr>
              <w:ind w:left="0" w:firstLine="0"/>
              <w:rPr>
                <w:b/>
                <w:sz w:val="24"/>
                <w:szCs w:val="20"/>
              </w:rPr>
            </w:pPr>
            <w:r w:rsidRPr="00895BFB">
              <w:rPr>
                <w:b/>
                <w:sz w:val="24"/>
                <w:szCs w:val="20"/>
              </w:rPr>
              <w:t>Key Skills:</w:t>
            </w:r>
          </w:p>
          <w:p w:rsidR="00895CE8" w:rsidRPr="00895BFB" w:rsidRDefault="00895CE8" w:rsidP="00895CE8">
            <w:pPr>
              <w:ind w:left="0" w:firstLine="0"/>
              <w:rPr>
                <w:b/>
                <w:sz w:val="20"/>
                <w:szCs w:val="20"/>
              </w:rPr>
            </w:pPr>
            <w:r w:rsidRPr="00895BFB">
              <w:rPr>
                <w:b/>
                <w:sz w:val="20"/>
                <w:szCs w:val="20"/>
              </w:rPr>
              <w:t xml:space="preserve">My students will be able to </w:t>
            </w:r>
            <w:r w:rsidRPr="00895BFB">
              <w:rPr>
                <w:b/>
                <w:sz w:val="28"/>
                <w:szCs w:val="20"/>
              </w:rPr>
              <w:t>(Do)</w:t>
            </w:r>
            <w:r w:rsidRPr="00895BFB">
              <w:rPr>
                <w:b/>
                <w:sz w:val="20"/>
                <w:szCs w:val="20"/>
              </w:rPr>
              <w:t>…</w:t>
            </w:r>
          </w:p>
        </w:tc>
      </w:tr>
      <w:tr w:rsidR="00895CE8" w:rsidRPr="00D5423D">
        <w:trPr>
          <w:cantSplit/>
          <w:trHeight w:val="98"/>
          <w:jc w:val="center"/>
        </w:trPr>
        <w:tc>
          <w:tcPr>
            <w:tcW w:w="2317" w:type="dxa"/>
            <w:shd w:val="clear" w:color="auto" w:fill="D9D9D9"/>
            <w:tcMar>
              <w:top w:w="115" w:type="dxa"/>
              <w:left w:w="115" w:type="dxa"/>
              <w:bottom w:w="115" w:type="dxa"/>
              <w:right w:w="115" w:type="dxa"/>
            </w:tcMar>
          </w:tcPr>
          <w:p w:rsidR="00895CE8" w:rsidRDefault="00895CE8" w:rsidP="00895CE8">
            <w:pPr>
              <w:ind w:left="0" w:firstLine="0"/>
              <w:rPr>
                <w:sz w:val="16"/>
                <w:szCs w:val="20"/>
              </w:rPr>
            </w:pPr>
            <w:r w:rsidRPr="00895BFB">
              <w:rPr>
                <w:b/>
                <w:sz w:val="20"/>
                <w:szCs w:val="20"/>
              </w:rPr>
              <w:t>Culture:</w:t>
            </w:r>
            <w:r w:rsidRPr="00895BFB">
              <w:rPr>
                <w:b/>
                <w:sz w:val="20"/>
                <w:szCs w:val="20"/>
              </w:rPr>
              <w:br/>
            </w:r>
            <w:r>
              <w:rPr>
                <w:sz w:val="16"/>
                <w:szCs w:val="20"/>
              </w:rPr>
              <w:t xml:space="preserve">Practices </w:t>
            </w:r>
            <w:r w:rsidRPr="006A1724">
              <w:rPr>
                <w:sz w:val="16"/>
                <w:szCs w:val="20"/>
              </w:rPr>
              <w:t>(WL09-N</w:t>
            </w:r>
            <w:r>
              <w:rPr>
                <w:sz w:val="16"/>
                <w:szCs w:val="20"/>
              </w:rPr>
              <w:t>H</w:t>
            </w:r>
            <w:r w:rsidRPr="006A1724">
              <w:rPr>
                <w:sz w:val="16"/>
                <w:szCs w:val="20"/>
              </w:rPr>
              <w:t>-S.2-GLE.1)</w:t>
            </w:r>
          </w:p>
          <w:p w:rsidR="00895CE8" w:rsidRPr="00895BFB" w:rsidRDefault="00895CE8" w:rsidP="00895CE8">
            <w:pPr>
              <w:ind w:left="0" w:firstLine="0"/>
              <w:rPr>
                <w:b/>
                <w:sz w:val="20"/>
                <w:szCs w:val="20"/>
              </w:rPr>
            </w:pPr>
            <w:r>
              <w:rPr>
                <w:sz w:val="16"/>
                <w:szCs w:val="20"/>
              </w:rPr>
              <w:t>Products (WL09-NH</w:t>
            </w:r>
            <w:r w:rsidRPr="006A1724">
              <w:rPr>
                <w:sz w:val="16"/>
                <w:szCs w:val="20"/>
              </w:rPr>
              <w:t>-S.2-GLE.2)</w:t>
            </w:r>
          </w:p>
        </w:tc>
        <w:tc>
          <w:tcPr>
            <w:tcW w:w="5093" w:type="dxa"/>
            <w:shd w:val="clear" w:color="auto" w:fill="auto"/>
          </w:tcPr>
          <w:p w:rsidR="00895CE8" w:rsidRDefault="00895CE8" w:rsidP="00895CE8">
            <w:pPr>
              <w:pStyle w:val="ColorfulList-Accent11"/>
              <w:numPr>
                <w:ilvl w:val="0"/>
                <w:numId w:val="4"/>
              </w:numPr>
              <w:spacing w:after="0" w:line="240" w:lineRule="auto"/>
              <w:contextualSpacing w:val="0"/>
              <w:rPr>
                <w:sz w:val="20"/>
              </w:rPr>
            </w:pPr>
            <w:r>
              <w:rPr>
                <w:sz w:val="20"/>
              </w:rPr>
              <w:t xml:space="preserve">Traditional foods </w:t>
            </w:r>
          </w:p>
          <w:p w:rsidR="00895CE8" w:rsidRDefault="00895CE8" w:rsidP="00895CE8">
            <w:pPr>
              <w:pStyle w:val="ColorfulList-Accent11"/>
              <w:numPr>
                <w:ilvl w:val="0"/>
                <w:numId w:val="4"/>
              </w:numPr>
              <w:spacing w:after="0" w:line="240" w:lineRule="auto"/>
              <w:contextualSpacing w:val="0"/>
              <w:rPr>
                <w:sz w:val="20"/>
              </w:rPr>
            </w:pPr>
            <w:r>
              <w:rPr>
                <w:sz w:val="20"/>
              </w:rPr>
              <w:t xml:space="preserve">Economic conditions </w:t>
            </w:r>
          </w:p>
          <w:p w:rsidR="00895CE8" w:rsidRDefault="00895CE8" w:rsidP="00895CE8">
            <w:pPr>
              <w:pStyle w:val="ColorfulList-Accent11"/>
              <w:numPr>
                <w:ilvl w:val="0"/>
                <w:numId w:val="4"/>
              </w:numPr>
              <w:spacing w:after="0" w:line="240" w:lineRule="auto"/>
              <w:contextualSpacing w:val="0"/>
              <w:rPr>
                <w:sz w:val="20"/>
              </w:rPr>
            </w:pPr>
            <w:r>
              <w:rPr>
                <w:sz w:val="20"/>
              </w:rPr>
              <w:t xml:space="preserve">Dietary practices </w:t>
            </w:r>
          </w:p>
          <w:p w:rsidR="00895CE8" w:rsidRPr="00895BFB" w:rsidRDefault="00895CE8" w:rsidP="00895CE8">
            <w:pPr>
              <w:pStyle w:val="ColorfulList-Accent11"/>
              <w:numPr>
                <w:ilvl w:val="0"/>
                <w:numId w:val="4"/>
              </w:numPr>
              <w:spacing w:after="0" w:line="240" w:lineRule="auto"/>
              <w:contextualSpacing w:val="0"/>
              <w:rPr>
                <w:sz w:val="20"/>
                <w:szCs w:val="20"/>
              </w:rPr>
            </w:pPr>
            <w:r>
              <w:rPr>
                <w:sz w:val="20"/>
              </w:rPr>
              <w:t>Health issues</w:t>
            </w:r>
          </w:p>
          <w:p w:rsidR="00895CE8" w:rsidRPr="00895BFB" w:rsidRDefault="00895CE8" w:rsidP="00895CE8">
            <w:pPr>
              <w:pStyle w:val="ColorfulList-Accent11"/>
              <w:numPr>
                <w:ilvl w:val="0"/>
                <w:numId w:val="4"/>
              </w:numPr>
              <w:spacing w:after="0" w:line="240" w:lineRule="auto"/>
              <w:contextualSpacing w:val="0"/>
              <w:rPr>
                <w:sz w:val="20"/>
                <w:szCs w:val="20"/>
              </w:rPr>
            </w:pPr>
            <w:r>
              <w:rPr>
                <w:sz w:val="20"/>
              </w:rPr>
              <w:t>Arts</w:t>
            </w:r>
          </w:p>
        </w:tc>
        <w:tc>
          <w:tcPr>
            <w:tcW w:w="7303" w:type="dxa"/>
            <w:vMerge w:val="restart"/>
            <w:shd w:val="clear" w:color="auto" w:fill="auto"/>
          </w:tcPr>
          <w:p w:rsidR="00895CE8" w:rsidRPr="00895BFB" w:rsidRDefault="00895CE8" w:rsidP="00895CE8">
            <w:pPr>
              <w:ind w:left="0" w:firstLine="0"/>
              <w:rPr>
                <w:sz w:val="20"/>
                <w:szCs w:val="20"/>
              </w:rPr>
            </w:pPr>
            <w:r w:rsidRPr="00895BFB">
              <w:rPr>
                <w:sz w:val="20"/>
                <w:szCs w:val="20"/>
              </w:rPr>
              <w:t xml:space="preserve">Within the context of this unit, students will be able to demonstrate in the target language the three modes of communication – interpersonal, interpretive and presentational.  Some examples can include, but may not be limited to: </w:t>
            </w:r>
          </w:p>
          <w:p w:rsidR="00895CE8" w:rsidRPr="00895BFB" w:rsidRDefault="00895CE8" w:rsidP="00895CE8">
            <w:pPr>
              <w:ind w:left="0" w:firstLine="0"/>
              <w:rPr>
                <w:sz w:val="20"/>
                <w:szCs w:val="20"/>
              </w:rPr>
            </w:pPr>
          </w:p>
          <w:p w:rsidR="00895CE8" w:rsidRPr="00895BFB" w:rsidRDefault="00895CE8" w:rsidP="00895CE8">
            <w:pPr>
              <w:pStyle w:val="ColorfulList-Accent11"/>
              <w:numPr>
                <w:ilvl w:val="0"/>
                <w:numId w:val="2"/>
              </w:numPr>
              <w:spacing w:after="0" w:line="240" w:lineRule="auto"/>
              <w:contextualSpacing w:val="0"/>
              <w:jc w:val="both"/>
              <w:rPr>
                <w:sz w:val="20"/>
                <w:szCs w:val="20"/>
              </w:rPr>
            </w:pPr>
            <w:r w:rsidRPr="00895BFB">
              <w:rPr>
                <w:sz w:val="20"/>
                <w:szCs w:val="20"/>
              </w:rPr>
              <w:t>Ask and answer questions</w:t>
            </w:r>
          </w:p>
          <w:p w:rsidR="00895CE8" w:rsidRPr="00895BFB" w:rsidRDefault="00895CE8" w:rsidP="00895CE8">
            <w:pPr>
              <w:pStyle w:val="ColorfulList-Accent11"/>
              <w:numPr>
                <w:ilvl w:val="0"/>
                <w:numId w:val="2"/>
              </w:numPr>
              <w:spacing w:after="0" w:line="240" w:lineRule="auto"/>
              <w:contextualSpacing w:val="0"/>
              <w:rPr>
                <w:sz w:val="20"/>
                <w:szCs w:val="20"/>
              </w:rPr>
            </w:pPr>
            <w:r w:rsidRPr="00895BFB">
              <w:rPr>
                <w:sz w:val="20"/>
                <w:szCs w:val="20"/>
              </w:rPr>
              <w:t>Compare and contrast eating habits</w:t>
            </w:r>
          </w:p>
          <w:p w:rsidR="00895CE8" w:rsidRPr="00895BFB" w:rsidRDefault="00895CE8" w:rsidP="00895CE8">
            <w:pPr>
              <w:pStyle w:val="ColorfulList-Accent11"/>
              <w:numPr>
                <w:ilvl w:val="0"/>
                <w:numId w:val="2"/>
              </w:numPr>
              <w:spacing w:after="0" w:line="240" w:lineRule="auto"/>
              <w:contextualSpacing w:val="0"/>
              <w:rPr>
                <w:sz w:val="20"/>
                <w:szCs w:val="20"/>
              </w:rPr>
            </w:pPr>
            <w:r w:rsidRPr="00895BFB">
              <w:rPr>
                <w:sz w:val="20"/>
                <w:szCs w:val="20"/>
              </w:rPr>
              <w:t>Describe traditional foods</w:t>
            </w:r>
          </w:p>
          <w:p w:rsidR="00895CE8" w:rsidRPr="00895BFB" w:rsidRDefault="00895CE8" w:rsidP="00895CE8">
            <w:pPr>
              <w:pStyle w:val="ColorfulList-Accent11"/>
              <w:numPr>
                <w:ilvl w:val="0"/>
                <w:numId w:val="2"/>
              </w:numPr>
              <w:spacing w:after="0" w:line="240" w:lineRule="auto"/>
              <w:contextualSpacing w:val="0"/>
              <w:rPr>
                <w:sz w:val="20"/>
                <w:szCs w:val="20"/>
              </w:rPr>
            </w:pPr>
            <w:r w:rsidRPr="00895BFB">
              <w:rPr>
                <w:sz w:val="20"/>
                <w:szCs w:val="20"/>
              </w:rPr>
              <w:t>Examine the use and relevance of common foods and eating habits</w:t>
            </w:r>
          </w:p>
          <w:p w:rsidR="00895CE8" w:rsidRPr="00895BFB" w:rsidRDefault="00895CE8" w:rsidP="00895CE8">
            <w:pPr>
              <w:pStyle w:val="ColorfulList-Accent11"/>
              <w:numPr>
                <w:ilvl w:val="0"/>
                <w:numId w:val="2"/>
              </w:numPr>
              <w:spacing w:after="0" w:line="240" w:lineRule="auto"/>
              <w:contextualSpacing w:val="0"/>
              <w:rPr>
                <w:sz w:val="20"/>
                <w:szCs w:val="20"/>
              </w:rPr>
            </w:pPr>
            <w:r w:rsidRPr="00895BFB">
              <w:rPr>
                <w:sz w:val="20"/>
                <w:szCs w:val="20"/>
              </w:rPr>
              <w:t>Read authentic sources</w:t>
            </w:r>
          </w:p>
          <w:p w:rsidR="00895CE8" w:rsidRPr="00895BFB" w:rsidRDefault="00895CE8" w:rsidP="00895CE8">
            <w:pPr>
              <w:pStyle w:val="ColorfulList-Accent11"/>
              <w:numPr>
                <w:ilvl w:val="0"/>
                <w:numId w:val="2"/>
              </w:numPr>
              <w:spacing w:after="0" w:line="240" w:lineRule="auto"/>
              <w:contextualSpacing w:val="0"/>
              <w:rPr>
                <w:sz w:val="20"/>
                <w:szCs w:val="20"/>
              </w:rPr>
            </w:pPr>
            <w:r w:rsidRPr="00895BFB">
              <w:rPr>
                <w:sz w:val="20"/>
                <w:szCs w:val="20"/>
              </w:rPr>
              <w:t>Express opinions, written or oral</w:t>
            </w:r>
          </w:p>
          <w:p w:rsidR="00895CE8" w:rsidRPr="00895BFB" w:rsidRDefault="00895CE8" w:rsidP="00895CE8">
            <w:pPr>
              <w:ind w:left="0" w:firstLine="0"/>
              <w:rPr>
                <w:sz w:val="20"/>
                <w:szCs w:val="20"/>
              </w:rPr>
            </w:pPr>
          </w:p>
          <w:p w:rsidR="00895CE8" w:rsidRPr="00895BFB" w:rsidRDefault="00895CE8" w:rsidP="00895CE8">
            <w:pPr>
              <w:rPr>
                <w:sz w:val="20"/>
                <w:szCs w:val="20"/>
              </w:rPr>
            </w:pPr>
          </w:p>
          <w:p w:rsidR="00895CE8" w:rsidRPr="00895BFB" w:rsidRDefault="00895CE8" w:rsidP="00895CE8">
            <w:pPr>
              <w:rPr>
                <w:sz w:val="20"/>
                <w:szCs w:val="20"/>
              </w:rPr>
            </w:pPr>
          </w:p>
          <w:p w:rsidR="00895CE8" w:rsidRPr="006A1724" w:rsidRDefault="00895CE8" w:rsidP="00895CE8">
            <w:pPr>
              <w:ind w:left="360"/>
              <w:rPr>
                <w:sz w:val="16"/>
              </w:rPr>
            </w:pPr>
            <w:r w:rsidRPr="006A1724">
              <w:rPr>
                <w:sz w:val="16"/>
              </w:rPr>
              <w:t>Modes of Communication:</w:t>
            </w:r>
          </w:p>
          <w:p w:rsidR="00895CE8" w:rsidRPr="006A1724" w:rsidRDefault="00895CE8" w:rsidP="00895CE8">
            <w:pPr>
              <w:rPr>
                <w:sz w:val="16"/>
              </w:rPr>
            </w:pPr>
            <w:r>
              <w:rPr>
                <w:sz w:val="16"/>
              </w:rPr>
              <w:t>Interpersonal mode (WL09-NH</w:t>
            </w:r>
            <w:r w:rsidRPr="006A1724">
              <w:rPr>
                <w:sz w:val="16"/>
              </w:rPr>
              <w:t>-S.1-GLE.1)</w:t>
            </w:r>
          </w:p>
          <w:p w:rsidR="00895CE8" w:rsidRPr="006A1724" w:rsidRDefault="00895CE8" w:rsidP="00895CE8">
            <w:pPr>
              <w:rPr>
                <w:sz w:val="16"/>
              </w:rPr>
            </w:pPr>
            <w:r>
              <w:rPr>
                <w:sz w:val="16"/>
              </w:rPr>
              <w:t>Interpretive mode (WL09-NH</w:t>
            </w:r>
            <w:r w:rsidRPr="006A1724">
              <w:rPr>
                <w:sz w:val="16"/>
              </w:rPr>
              <w:t>-S.1-GLE.2)</w:t>
            </w:r>
          </w:p>
          <w:p w:rsidR="00895CE8" w:rsidRPr="00895BFB" w:rsidRDefault="00895CE8" w:rsidP="00895CE8">
            <w:pPr>
              <w:ind w:left="360" w:firstLine="0"/>
              <w:rPr>
                <w:sz w:val="20"/>
                <w:szCs w:val="20"/>
              </w:rPr>
            </w:pPr>
            <w:r w:rsidRPr="006A1724">
              <w:rPr>
                <w:sz w:val="16"/>
              </w:rPr>
              <w:t>Presentational mode (WL09-N</w:t>
            </w:r>
            <w:r>
              <w:rPr>
                <w:sz w:val="16"/>
              </w:rPr>
              <w:t>H</w:t>
            </w:r>
            <w:r w:rsidRPr="006A1724">
              <w:rPr>
                <w:sz w:val="16"/>
              </w:rPr>
              <w:t>-S.1-GLE.3)</w:t>
            </w:r>
          </w:p>
        </w:tc>
      </w:tr>
      <w:tr w:rsidR="00895CE8" w:rsidRPr="00D5423D">
        <w:trPr>
          <w:cantSplit/>
          <w:trHeight w:val="96"/>
          <w:jc w:val="center"/>
        </w:trPr>
        <w:tc>
          <w:tcPr>
            <w:tcW w:w="2317" w:type="dxa"/>
            <w:shd w:val="clear" w:color="auto" w:fill="D9D9D9"/>
            <w:tcMar>
              <w:top w:w="115" w:type="dxa"/>
              <w:left w:w="115" w:type="dxa"/>
              <w:bottom w:w="115" w:type="dxa"/>
              <w:right w:w="115" w:type="dxa"/>
            </w:tcMar>
          </w:tcPr>
          <w:p w:rsidR="00895CE8" w:rsidRPr="00895BFB" w:rsidRDefault="00895CE8" w:rsidP="00895CE8">
            <w:pPr>
              <w:ind w:left="0" w:firstLine="0"/>
              <w:rPr>
                <w:b/>
                <w:sz w:val="20"/>
                <w:szCs w:val="20"/>
              </w:rPr>
            </w:pPr>
            <w:r w:rsidRPr="00895BFB">
              <w:rPr>
                <w:b/>
                <w:sz w:val="20"/>
                <w:szCs w:val="20"/>
              </w:rPr>
              <w:t xml:space="preserve">Context: </w:t>
            </w:r>
          </w:p>
        </w:tc>
        <w:tc>
          <w:tcPr>
            <w:tcW w:w="5093" w:type="dxa"/>
            <w:shd w:val="clear" w:color="auto" w:fill="auto"/>
          </w:tcPr>
          <w:p w:rsidR="00895CE8" w:rsidRDefault="00895CE8" w:rsidP="00895CE8">
            <w:pPr>
              <w:pStyle w:val="ColorfulList-Accent11"/>
              <w:numPr>
                <w:ilvl w:val="0"/>
                <w:numId w:val="4"/>
              </w:numPr>
              <w:spacing w:after="0" w:line="240" w:lineRule="auto"/>
              <w:contextualSpacing w:val="0"/>
              <w:rPr>
                <w:sz w:val="20"/>
              </w:rPr>
            </w:pPr>
            <w:r>
              <w:rPr>
                <w:sz w:val="20"/>
              </w:rPr>
              <w:t xml:space="preserve">Food </w:t>
            </w:r>
          </w:p>
          <w:p w:rsidR="00895CE8" w:rsidRPr="00BB16CE" w:rsidRDefault="00895CE8" w:rsidP="00895CE8">
            <w:pPr>
              <w:pStyle w:val="ColorfulList-Accent11"/>
              <w:numPr>
                <w:ilvl w:val="0"/>
                <w:numId w:val="4"/>
              </w:numPr>
              <w:spacing w:after="0" w:line="240" w:lineRule="auto"/>
              <w:contextualSpacing w:val="0"/>
              <w:rPr>
                <w:sz w:val="20"/>
              </w:rPr>
            </w:pPr>
            <w:r>
              <w:rPr>
                <w:sz w:val="20"/>
              </w:rPr>
              <w:t>Diet</w:t>
            </w:r>
          </w:p>
          <w:p w:rsidR="00895CE8" w:rsidRDefault="00895CE8" w:rsidP="00895CE8">
            <w:pPr>
              <w:pStyle w:val="ColorfulList-Accent11"/>
              <w:numPr>
                <w:ilvl w:val="0"/>
                <w:numId w:val="4"/>
              </w:numPr>
              <w:spacing w:after="0" w:line="240" w:lineRule="auto"/>
              <w:contextualSpacing w:val="0"/>
              <w:rPr>
                <w:sz w:val="20"/>
              </w:rPr>
            </w:pPr>
            <w:r w:rsidRPr="006D33E4">
              <w:rPr>
                <w:sz w:val="20"/>
              </w:rPr>
              <w:t>Nutritionally related Health issues</w:t>
            </w:r>
          </w:p>
          <w:p w:rsidR="00895CE8" w:rsidRPr="006D33E4" w:rsidRDefault="00895CE8" w:rsidP="00895CE8">
            <w:pPr>
              <w:pStyle w:val="ColorfulList-Accent11"/>
              <w:numPr>
                <w:ilvl w:val="0"/>
                <w:numId w:val="4"/>
              </w:numPr>
              <w:spacing w:after="0" w:line="240" w:lineRule="auto"/>
              <w:contextualSpacing w:val="0"/>
              <w:rPr>
                <w:sz w:val="20"/>
              </w:rPr>
            </w:pPr>
            <w:r w:rsidRPr="006D33E4">
              <w:rPr>
                <w:sz w:val="20"/>
              </w:rPr>
              <w:t>Art</w:t>
            </w:r>
            <w:r>
              <w:rPr>
                <w:sz w:val="20"/>
              </w:rPr>
              <w:t xml:space="preserve"> (e.g. literature, poetry, visual art, media)</w:t>
            </w:r>
          </w:p>
          <w:p w:rsidR="00895CE8" w:rsidRPr="006449E7" w:rsidRDefault="00895CE8" w:rsidP="00895CE8">
            <w:pPr>
              <w:pStyle w:val="ColorfulList-Accent11"/>
              <w:numPr>
                <w:ilvl w:val="0"/>
                <w:numId w:val="4"/>
              </w:numPr>
              <w:spacing w:after="0" w:line="240" w:lineRule="auto"/>
              <w:contextualSpacing w:val="0"/>
              <w:rPr>
                <w:sz w:val="20"/>
              </w:rPr>
            </w:pPr>
            <w:r>
              <w:rPr>
                <w:sz w:val="20"/>
              </w:rPr>
              <w:t>Social classes</w:t>
            </w:r>
          </w:p>
        </w:tc>
        <w:tc>
          <w:tcPr>
            <w:tcW w:w="7303" w:type="dxa"/>
            <w:vMerge/>
            <w:shd w:val="clear" w:color="auto" w:fill="auto"/>
          </w:tcPr>
          <w:p w:rsidR="00895CE8" w:rsidRPr="00895BFB" w:rsidRDefault="00895CE8" w:rsidP="00895CE8">
            <w:pPr>
              <w:pStyle w:val="ColorfulList-Accent11"/>
              <w:numPr>
                <w:ilvl w:val="0"/>
                <w:numId w:val="2"/>
              </w:numPr>
              <w:spacing w:after="0" w:line="240" w:lineRule="auto"/>
              <w:contextualSpacing w:val="0"/>
              <w:rPr>
                <w:sz w:val="20"/>
                <w:szCs w:val="20"/>
              </w:rPr>
            </w:pPr>
          </w:p>
        </w:tc>
      </w:tr>
      <w:tr w:rsidR="00895CE8" w:rsidRPr="00D5423D">
        <w:trPr>
          <w:cantSplit/>
          <w:trHeight w:val="96"/>
          <w:jc w:val="center"/>
        </w:trPr>
        <w:tc>
          <w:tcPr>
            <w:tcW w:w="2317" w:type="dxa"/>
            <w:shd w:val="clear" w:color="auto" w:fill="D9D9D9"/>
            <w:tcMar>
              <w:top w:w="115" w:type="dxa"/>
              <w:left w:w="115" w:type="dxa"/>
              <w:bottom w:w="115" w:type="dxa"/>
              <w:right w:w="115" w:type="dxa"/>
            </w:tcMar>
          </w:tcPr>
          <w:p w:rsidR="00895CE8" w:rsidRPr="00895BFB" w:rsidRDefault="00895CE8" w:rsidP="00895CE8">
            <w:pPr>
              <w:ind w:left="0" w:firstLine="0"/>
              <w:rPr>
                <w:b/>
                <w:sz w:val="20"/>
                <w:szCs w:val="20"/>
              </w:rPr>
            </w:pPr>
            <w:r w:rsidRPr="00895BFB">
              <w:rPr>
                <w:b/>
                <w:sz w:val="20"/>
                <w:szCs w:val="20"/>
              </w:rPr>
              <w:t xml:space="preserve">Structure: </w:t>
            </w:r>
            <w:r w:rsidRPr="00895BFB">
              <w:rPr>
                <w:b/>
                <w:sz w:val="20"/>
                <w:szCs w:val="20"/>
              </w:rPr>
              <w:br/>
            </w:r>
            <w:r>
              <w:rPr>
                <w:sz w:val="16"/>
                <w:szCs w:val="20"/>
              </w:rPr>
              <w:t>Patterns of Language (WL09-NH</w:t>
            </w:r>
            <w:r w:rsidRPr="006A1724">
              <w:rPr>
                <w:sz w:val="16"/>
                <w:szCs w:val="20"/>
              </w:rPr>
              <w:t>-S.4-GLE.1)</w:t>
            </w:r>
          </w:p>
        </w:tc>
        <w:tc>
          <w:tcPr>
            <w:tcW w:w="5093" w:type="dxa"/>
            <w:shd w:val="clear" w:color="auto" w:fill="auto"/>
          </w:tcPr>
          <w:p w:rsidR="00895CE8" w:rsidRDefault="00895CE8" w:rsidP="00895CE8">
            <w:pPr>
              <w:pStyle w:val="ColorfulList-Accent11"/>
              <w:numPr>
                <w:ilvl w:val="0"/>
                <w:numId w:val="4"/>
              </w:numPr>
              <w:spacing w:after="0" w:line="240" w:lineRule="auto"/>
              <w:contextualSpacing w:val="0"/>
              <w:rPr>
                <w:sz w:val="20"/>
              </w:rPr>
            </w:pPr>
            <w:r>
              <w:rPr>
                <w:sz w:val="20"/>
              </w:rPr>
              <w:t>Comparatives</w:t>
            </w:r>
          </w:p>
          <w:p w:rsidR="00895CE8" w:rsidRDefault="00895CE8" w:rsidP="00895CE8">
            <w:pPr>
              <w:pStyle w:val="ColorfulList-Accent11"/>
              <w:numPr>
                <w:ilvl w:val="0"/>
                <w:numId w:val="4"/>
              </w:numPr>
              <w:spacing w:after="0" w:line="240" w:lineRule="auto"/>
              <w:contextualSpacing w:val="0"/>
              <w:rPr>
                <w:sz w:val="20"/>
              </w:rPr>
            </w:pPr>
            <w:r>
              <w:rPr>
                <w:sz w:val="20"/>
              </w:rPr>
              <w:t>Superlatives</w:t>
            </w:r>
          </w:p>
          <w:p w:rsidR="00895CE8" w:rsidRDefault="00895CE8" w:rsidP="00895CE8">
            <w:pPr>
              <w:pStyle w:val="ColorfulList-Accent11"/>
              <w:numPr>
                <w:ilvl w:val="0"/>
                <w:numId w:val="4"/>
              </w:numPr>
              <w:spacing w:after="0" w:line="240" w:lineRule="auto"/>
              <w:contextualSpacing w:val="0"/>
              <w:rPr>
                <w:sz w:val="20"/>
              </w:rPr>
            </w:pPr>
            <w:r>
              <w:rPr>
                <w:sz w:val="20"/>
              </w:rPr>
              <w:t>Adjective agreement</w:t>
            </w:r>
          </w:p>
          <w:p w:rsidR="00895CE8" w:rsidRDefault="00895CE8" w:rsidP="00895CE8">
            <w:pPr>
              <w:pStyle w:val="ColorfulList-Accent11"/>
              <w:numPr>
                <w:ilvl w:val="0"/>
                <w:numId w:val="4"/>
              </w:numPr>
              <w:spacing w:after="0" w:line="240" w:lineRule="auto"/>
              <w:contextualSpacing w:val="0"/>
              <w:rPr>
                <w:sz w:val="20"/>
              </w:rPr>
            </w:pPr>
            <w:r>
              <w:rPr>
                <w:sz w:val="20"/>
              </w:rPr>
              <w:t>Future tense</w:t>
            </w:r>
          </w:p>
          <w:p w:rsidR="00895CE8" w:rsidRPr="00895BFB" w:rsidRDefault="00895CE8" w:rsidP="00895CE8">
            <w:pPr>
              <w:pStyle w:val="ColorfulList-Accent11"/>
              <w:numPr>
                <w:ilvl w:val="0"/>
                <w:numId w:val="4"/>
              </w:numPr>
              <w:spacing w:after="0" w:line="240" w:lineRule="auto"/>
              <w:contextualSpacing w:val="0"/>
              <w:rPr>
                <w:sz w:val="20"/>
                <w:szCs w:val="20"/>
              </w:rPr>
            </w:pPr>
            <w:r>
              <w:rPr>
                <w:sz w:val="20"/>
              </w:rPr>
              <w:t>Conditional tense</w:t>
            </w:r>
          </w:p>
        </w:tc>
        <w:tc>
          <w:tcPr>
            <w:tcW w:w="7303" w:type="dxa"/>
            <w:vMerge/>
            <w:shd w:val="clear" w:color="auto" w:fill="auto"/>
          </w:tcPr>
          <w:p w:rsidR="00895CE8" w:rsidRPr="00895BFB" w:rsidRDefault="00895CE8" w:rsidP="00895CE8">
            <w:pPr>
              <w:pStyle w:val="ColorfulList-Accent11"/>
              <w:numPr>
                <w:ilvl w:val="0"/>
                <w:numId w:val="2"/>
              </w:numPr>
              <w:spacing w:after="0" w:line="240" w:lineRule="auto"/>
              <w:contextualSpacing w:val="0"/>
              <w:rPr>
                <w:sz w:val="20"/>
                <w:szCs w:val="20"/>
              </w:rPr>
            </w:pPr>
          </w:p>
        </w:tc>
      </w:tr>
      <w:tr w:rsidR="00895CE8" w:rsidRPr="00D5423D">
        <w:trPr>
          <w:cantSplit/>
          <w:trHeight w:val="96"/>
          <w:jc w:val="center"/>
        </w:trPr>
        <w:tc>
          <w:tcPr>
            <w:tcW w:w="2317" w:type="dxa"/>
            <w:shd w:val="clear" w:color="auto" w:fill="D9D9D9"/>
            <w:tcMar>
              <w:top w:w="115" w:type="dxa"/>
              <w:left w:w="115" w:type="dxa"/>
              <w:bottom w:w="115" w:type="dxa"/>
              <w:right w:w="115" w:type="dxa"/>
            </w:tcMar>
          </w:tcPr>
          <w:p w:rsidR="00895CE8" w:rsidRPr="00895BFB" w:rsidRDefault="00895CE8" w:rsidP="00895CE8">
            <w:pPr>
              <w:ind w:left="0" w:firstLine="0"/>
              <w:rPr>
                <w:b/>
                <w:sz w:val="20"/>
                <w:szCs w:val="20"/>
              </w:rPr>
            </w:pPr>
            <w:r w:rsidRPr="00895BFB">
              <w:rPr>
                <w:b/>
                <w:sz w:val="20"/>
                <w:szCs w:val="20"/>
              </w:rPr>
              <w:t xml:space="preserve">Connections to: </w:t>
            </w:r>
            <w:r w:rsidRPr="00895BFB">
              <w:rPr>
                <w:b/>
                <w:sz w:val="20"/>
                <w:szCs w:val="20"/>
              </w:rPr>
              <w:br/>
            </w:r>
            <w:r>
              <w:rPr>
                <w:sz w:val="16"/>
                <w:szCs w:val="20"/>
              </w:rPr>
              <w:t>Other Disciplines (WL09-NH</w:t>
            </w:r>
            <w:r w:rsidRPr="006A1724">
              <w:rPr>
                <w:sz w:val="16"/>
                <w:szCs w:val="20"/>
              </w:rPr>
              <w:t>-S.3-GLE.1)</w:t>
            </w:r>
          </w:p>
        </w:tc>
        <w:tc>
          <w:tcPr>
            <w:tcW w:w="5093" w:type="dxa"/>
            <w:shd w:val="clear" w:color="auto" w:fill="auto"/>
          </w:tcPr>
          <w:p w:rsidR="00895CE8" w:rsidRPr="00895BFB" w:rsidRDefault="00895CE8" w:rsidP="00895CE8">
            <w:pPr>
              <w:pStyle w:val="ColorfulList-Accent11"/>
              <w:numPr>
                <w:ilvl w:val="0"/>
                <w:numId w:val="4"/>
              </w:numPr>
              <w:spacing w:after="0" w:line="240" w:lineRule="auto"/>
              <w:contextualSpacing w:val="0"/>
              <w:rPr>
                <w:sz w:val="20"/>
                <w:szCs w:val="20"/>
              </w:rPr>
            </w:pPr>
            <w:r>
              <w:rPr>
                <w:sz w:val="20"/>
              </w:rPr>
              <w:t>Social Studies, Family and Consumer Science, Arts, Reading, Math/Economics, Sciences, Geography, Writing</w:t>
            </w:r>
          </w:p>
        </w:tc>
        <w:tc>
          <w:tcPr>
            <w:tcW w:w="7303" w:type="dxa"/>
            <w:vMerge/>
            <w:shd w:val="clear" w:color="auto" w:fill="auto"/>
          </w:tcPr>
          <w:p w:rsidR="00895CE8" w:rsidRPr="00895BFB" w:rsidRDefault="00895CE8" w:rsidP="00895CE8">
            <w:pPr>
              <w:pStyle w:val="ColorfulList-Accent11"/>
              <w:numPr>
                <w:ilvl w:val="0"/>
                <w:numId w:val="2"/>
              </w:numPr>
              <w:spacing w:after="0" w:line="240" w:lineRule="auto"/>
              <w:contextualSpacing w:val="0"/>
              <w:rPr>
                <w:sz w:val="20"/>
                <w:szCs w:val="20"/>
              </w:rPr>
            </w:pPr>
          </w:p>
        </w:tc>
      </w:tr>
    </w:tbl>
    <w:p w:rsidR="00895CE8" w:rsidRPr="00D5423D" w:rsidRDefault="00895CE8" w:rsidP="00895CE8"/>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12486"/>
      </w:tblGrid>
      <w:tr w:rsidR="00895CE8" w:rsidRPr="00D5423D">
        <w:trPr>
          <w:trHeight w:val="19"/>
          <w:jc w:val="center"/>
        </w:trPr>
        <w:tc>
          <w:tcPr>
            <w:tcW w:w="14713" w:type="dxa"/>
            <w:gridSpan w:val="2"/>
            <w:shd w:val="clear" w:color="auto" w:fill="D9D9D9"/>
          </w:tcPr>
          <w:p w:rsidR="00895CE8" w:rsidRPr="00895BFB" w:rsidRDefault="00895CE8" w:rsidP="00895CE8">
            <w:pPr>
              <w:ind w:left="0" w:firstLine="0"/>
              <w:rPr>
                <w:sz w:val="20"/>
                <w:szCs w:val="20"/>
              </w:rPr>
            </w:pPr>
            <w:r w:rsidRPr="00895BFB">
              <w:rPr>
                <w:b/>
                <w:sz w:val="20"/>
                <w:szCs w:val="20"/>
              </w:rPr>
              <w:t>Critical Language:</w:t>
            </w:r>
            <w:r w:rsidRPr="00895BFB">
              <w:rPr>
                <w:sz w:val="20"/>
                <w:szCs w:val="20"/>
              </w:rPr>
              <w:t xml:space="preserve"> includes the Academic and Technical vocabulary, semantics, and discourse which are particular to and necessary for accessing a given discipline.</w:t>
            </w:r>
          </w:p>
        </w:tc>
      </w:tr>
      <w:tr w:rsidR="00895CE8" w:rsidRPr="00D5423D">
        <w:trPr>
          <w:trHeight w:val="653"/>
          <w:jc w:val="center"/>
        </w:trPr>
        <w:tc>
          <w:tcPr>
            <w:tcW w:w="2227" w:type="dxa"/>
            <w:shd w:val="clear" w:color="auto" w:fill="D9D9D9"/>
          </w:tcPr>
          <w:p w:rsidR="00895CE8" w:rsidRPr="00895BFB" w:rsidRDefault="00895CE8" w:rsidP="00895CE8">
            <w:pPr>
              <w:pStyle w:val="ColorfulList-Accent11"/>
              <w:spacing w:after="0" w:line="240" w:lineRule="auto"/>
              <w:ind w:left="0"/>
              <w:contextualSpacing w:val="0"/>
              <w:rPr>
                <w:b/>
                <w:sz w:val="20"/>
                <w:szCs w:val="20"/>
              </w:rPr>
            </w:pPr>
            <w:r w:rsidRPr="00895BFB">
              <w:rPr>
                <w:b/>
                <w:sz w:val="20"/>
                <w:szCs w:val="20"/>
              </w:rPr>
              <w:t>Academic Vocabulary:</w:t>
            </w:r>
          </w:p>
        </w:tc>
        <w:tc>
          <w:tcPr>
            <w:tcW w:w="12486" w:type="dxa"/>
          </w:tcPr>
          <w:p w:rsidR="00895CE8" w:rsidRPr="00895BFB" w:rsidRDefault="00895CE8" w:rsidP="00895CE8">
            <w:pPr>
              <w:ind w:left="0" w:firstLine="0"/>
              <w:rPr>
                <w:sz w:val="20"/>
                <w:szCs w:val="20"/>
              </w:rPr>
            </w:pPr>
            <w:r w:rsidRPr="00895BFB">
              <w:rPr>
                <w:sz w:val="20"/>
                <w:szCs w:val="20"/>
              </w:rPr>
              <w:t>Compare, contrast, discuss, express, ask, answer, reflect, share, describe</w:t>
            </w:r>
          </w:p>
        </w:tc>
      </w:tr>
      <w:tr w:rsidR="00895CE8" w:rsidRPr="00D5423D">
        <w:trPr>
          <w:trHeight w:val="653"/>
          <w:jc w:val="center"/>
        </w:trPr>
        <w:tc>
          <w:tcPr>
            <w:tcW w:w="2227" w:type="dxa"/>
            <w:shd w:val="clear" w:color="auto" w:fill="D9D9D9"/>
          </w:tcPr>
          <w:p w:rsidR="00895CE8" w:rsidRPr="00895BFB" w:rsidRDefault="00895CE8" w:rsidP="00895CE8">
            <w:pPr>
              <w:ind w:left="0" w:firstLine="0"/>
              <w:rPr>
                <w:b/>
                <w:sz w:val="20"/>
                <w:szCs w:val="20"/>
              </w:rPr>
            </w:pPr>
            <w:r w:rsidRPr="00895BFB">
              <w:rPr>
                <w:b/>
                <w:sz w:val="20"/>
                <w:szCs w:val="20"/>
              </w:rPr>
              <w:t>Technical Vocabulary:</w:t>
            </w:r>
          </w:p>
        </w:tc>
        <w:tc>
          <w:tcPr>
            <w:tcW w:w="12486" w:type="dxa"/>
          </w:tcPr>
          <w:p w:rsidR="00895CE8" w:rsidRPr="00895BFB" w:rsidRDefault="00895CE8" w:rsidP="00895CE8">
            <w:pPr>
              <w:ind w:left="0" w:firstLine="0"/>
              <w:rPr>
                <w:sz w:val="20"/>
                <w:szCs w:val="20"/>
              </w:rPr>
            </w:pPr>
            <w:r w:rsidRPr="00895BFB">
              <w:rPr>
                <w:sz w:val="20"/>
                <w:szCs w:val="20"/>
              </w:rPr>
              <w:t>Interpersonal, interpretive, presentational, grammatical terms, practices, products, perspectives, connections, performance, proficiency range</w:t>
            </w:r>
          </w:p>
        </w:tc>
      </w:tr>
    </w:tbl>
    <w:p w:rsidR="00895CE8" w:rsidRPr="00895BFB" w:rsidRDefault="00895CE8" w:rsidP="00895CE8">
      <w:pPr>
        <w:ind w:left="0" w:firstLine="0"/>
        <w:rPr>
          <w:b/>
          <w:sz w:val="20"/>
          <w:szCs w:val="20"/>
        </w:rPr>
      </w:pPr>
    </w:p>
    <w:sectPr w:rsidR="00895CE8" w:rsidRPr="00895BFB" w:rsidSect="00895CE8">
      <w:headerReference w:type="even" r:id="rId12"/>
      <w:headerReference w:type="default" r:id="rId13"/>
      <w:footerReference w:type="even" r:id="rId14"/>
      <w:headerReference w:type="first" r:id="rId15"/>
      <w:footerReference w:type="first" r:id="rId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1E" w:rsidRDefault="00115A1E" w:rsidP="00895CE8">
      <w:r>
        <w:separator/>
      </w:r>
    </w:p>
  </w:endnote>
  <w:endnote w:type="continuationSeparator" w:id="0">
    <w:p w:rsidR="00115A1E" w:rsidRDefault="00115A1E" w:rsidP="0089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Pr="001A50CB" w:rsidRDefault="00895CE8" w:rsidP="00895CE8">
    <w:pPr>
      <w:pStyle w:val="Footer"/>
      <w:rPr>
        <w:sz w:val="16"/>
        <w:szCs w:val="16"/>
      </w:rPr>
    </w:pPr>
    <w:r w:rsidRPr="001A50CB">
      <w:rPr>
        <w:sz w:val="16"/>
        <w:szCs w:val="16"/>
      </w:rPr>
      <w:t xml:space="preserve">Authors of the Sample: </w:t>
    </w:r>
    <w:r>
      <w:rPr>
        <w:sz w:val="16"/>
        <w:szCs w:val="16"/>
      </w:rPr>
      <w:t>Jay Moser (Johnstown-Milliken RE-5J) Nancy Randall (Ridgway R-2) Arleen Aguirre (Pueblo City 60)</w:t>
    </w:r>
  </w:p>
  <w:p w:rsidR="00895CE8" w:rsidRPr="001A50CB" w:rsidRDefault="00895CE8" w:rsidP="00895CE8">
    <w:pPr>
      <w:tabs>
        <w:tab w:val="center" w:pos="7200"/>
        <w:tab w:val="right" w:pos="14400"/>
      </w:tabs>
      <w:rPr>
        <w:sz w:val="16"/>
        <w:szCs w:val="16"/>
      </w:rPr>
    </w:pPr>
    <w:r>
      <w:rPr>
        <w:sz w:val="16"/>
        <w:szCs w:val="16"/>
      </w:rPr>
      <w:t>Intermediate Low</w:t>
    </w:r>
    <w:r w:rsidRPr="001A50CB">
      <w:rPr>
        <w:sz w:val="16"/>
        <w:szCs w:val="16"/>
      </w:rPr>
      <w:t xml:space="preserve">, </w:t>
    </w:r>
    <w:r>
      <w:rPr>
        <w:sz w:val="16"/>
        <w:szCs w:val="16"/>
      </w:rPr>
      <w:t>World Languages</w:t>
    </w:r>
    <w:r w:rsidRPr="00B66D1A">
      <w:rPr>
        <w:sz w:val="16"/>
        <w:szCs w:val="16"/>
      </w:rPr>
      <w:tab/>
      <w:t>D</w:t>
    </w:r>
    <w:r>
      <w:rPr>
        <w:sz w:val="16"/>
        <w:szCs w:val="16"/>
      </w:rPr>
      <w:t>ate Posted: April 2015</w:t>
    </w:r>
    <w:r w:rsidRPr="001A50CB">
      <w:rPr>
        <w:sz w:val="16"/>
        <w:szCs w:val="16"/>
      </w:rPr>
      <w:tab/>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92E64">
      <w:rPr>
        <w:noProof/>
        <w:sz w:val="16"/>
        <w:szCs w:val="16"/>
      </w:rPr>
      <w:t>1</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92E64">
      <w:rPr>
        <w:noProof/>
        <w:sz w:val="16"/>
        <w:szCs w:val="16"/>
      </w:rPr>
      <w:t>4</w:t>
    </w:r>
    <w:r w:rsidRPr="001A50C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Default="00895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Default="00895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1E" w:rsidRDefault="00115A1E" w:rsidP="00895CE8">
      <w:r>
        <w:separator/>
      </w:r>
    </w:p>
  </w:footnote>
  <w:footnote w:type="continuationSeparator" w:id="0">
    <w:p w:rsidR="00115A1E" w:rsidRDefault="00115A1E" w:rsidP="0089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Pr="00895BFB" w:rsidRDefault="00895CE8" w:rsidP="00895CE8">
    <w:pPr>
      <w:ind w:left="0"/>
      <w:jc w:val="center"/>
      <w:rPr>
        <w:b/>
        <w:sz w:val="20"/>
        <w:szCs w:val="20"/>
      </w:rPr>
    </w:pPr>
    <w:r w:rsidRPr="00895BFB">
      <w:rPr>
        <w:b/>
        <w:sz w:val="20"/>
        <w:szCs w:val="20"/>
      </w:rPr>
      <w:t>Curriculum Development Proficiency Range Level at a Glance</w:t>
    </w:r>
  </w:p>
  <w:p w:rsidR="00895CE8" w:rsidRPr="00895BFB" w:rsidRDefault="00895CE8" w:rsidP="00895CE8">
    <w:pPr>
      <w:ind w:left="0"/>
      <w:jc w:val="center"/>
      <w:rPr>
        <w:b/>
        <w:sz w:val="20"/>
        <w:szCs w:val="20"/>
      </w:rPr>
    </w:pPr>
    <w:r w:rsidRPr="00895BFB">
      <w:rPr>
        <w:b/>
        <w:sz w:val="20"/>
        <w:szCs w:val="20"/>
      </w:rPr>
      <w:t>Planning for Intermediate Low Proficiency Range Level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Default="00895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Pr="00895BFB" w:rsidRDefault="00895CE8" w:rsidP="00895CE8">
    <w:pPr>
      <w:ind w:left="0" w:firstLine="0"/>
      <w:jc w:val="center"/>
      <w:rPr>
        <w:b/>
        <w:sz w:val="20"/>
        <w:szCs w:val="20"/>
      </w:rPr>
    </w:pPr>
    <w:r w:rsidRPr="00895BFB">
      <w:rPr>
        <w:b/>
        <w:sz w:val="20"/>
        <w:szCs w:val="20"/>
      </w:rPr>
      <w:t>Curriculum Development Overview</w:t>
    </w:r>
  </w:p>
  <w:p w:rsidR="00895CE8" w:rsidRPr="00F36A58" w:rsidRDefault="00895CE8" w:rsidP="00895CE8">
    <w:pPr>
      <w:ind w:left="0" w:firstLine="0"/>
      <w:jc w:val="center"/>
      <w:rPr>
        <w:b/>
        <w:sz w:val="20"/>
        <w:szCs w:val="20"/>
      </w:rPr>
    </w:pPr>
    <w:r w:rsidRPr="00895BFB">
      <w:rPr>
        <w:b/>
        <w:sz w:val="20"/>
        <w:szCs w:val="20"/>
      </w:rPr>
      <w:t>Unit Planning for Intermediate Low Proficiency Range Level in World Languages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CE8" w:rsidRDefault="00895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44A13"/>
    <w:multiLevelType w:val="hybridMultilevel"/>
    <w:tmpl w:val="DD524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91C53"/>
    <w:multiLevelType w:val="hybridMultilevel"/>
    <w:tmpl w:val="87E85180"/>
    <w:lvl w:ilvl="0" w:tplc="BEF42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C10C2"/>
    <w:multiLevelType w:val="hybridMultilevel"/>
    <w:tmpl w:val="250C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31D36"/>
    <w:multiLevelType w:val="hybridMultilevel"/>
    <w:tmpl w:val="B55A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F371C4"/>
    <w:multiLevelType w:val="hybridMultilevel"/>
    <w:tmpl w:val="6A8C0C3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72163B"/>
    <w:multiLevelType w:val="hybridMultilevel"/>
    <w:tmpl w:val="5070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BB2ECD"/>
    <w:multiLevelType w:val="hybridMultilevel"/>
    <w:tmpl w:val="CE308CA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B22BF1"/>
    <w:multiLevelType w:val="hybridMultilevel"/>
    <w:tmpl w:val="0ECAD9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490522"/>
    <w:multiLevelType w:val="hybridMultilevel"/>
    <w:tmpl w:val="34224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24461B7"/>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64065E"/>
    <w:multiLevelType w:val="hybridMultilevel"/>
    <w:tmpl w:val="242C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A004F"/>
    <w:multiLevelType w:val="hybridMultilevel"/>
    <w:tmpl w:val="448AD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333066"/>
    <w:multiLevelType w:val="hybridMultilevel"/>
    <w:tmpl w:val="D7964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FB4C7C"/>
    <w:multiLevelType w:val="hybridMultilevel"/>
    <w:tmpl w:val="CA746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1966D0"/>
    <w:multiLevelType w:val="hybridMultilevel"/>
    <w:tmpl w:val="E3249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A27B34"/>
    <w:multiLevelType w:val="hybridMultilevel"/>
    <w:tmpl w:val="01741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8F051F"/>
    <w:multiLevelType w:val="hybridMultilevel"/>
    <w:tmpl w:val="62E20D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2840A36"/>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761162C"/>
    <w:multiLevelType w:val="hybridMultilevel"/>
    <w:tmpl w:val="250C8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E565EA"/>
    <w:multiLevelType w:val="hybridMultilevel"/>
    <w:tmpl w:val="C7F4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C03D30"/>
    <w:multiLevelType w:val="hybridMultilevel"/>
    <w:tmpl w:val="25B28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13"/>
  </w:num>
  <w:num w:numId="5">
    <w:abstractNumId w:val="3"/>
  </w:num>
  <w:num w:numId="6">
    <w:abstractNumId w:val="19"/>
  </w:num>
  <w:num w:numId="7">
    <w:abstractNumId w:val="20"/>
  </w:num>
  <w:num w:numId="8">
    <w:abstractNumId w:val="10"/>
  </w:num>
  <w:num w:numId="9">
    <w:abstractNumId w:val="15"/>
  </w:num>
  <w:num w:numId="10">
    <w:abstractNumId w:val="1"/>
  </w:num>
  <w:num w:numId="11">
    <w:abstractNumId w:val="21"/>
  </w:num>
  <w:num w:numId="12">
    <w:abstractNumId w:val="6"/>
  </w:num>
  <w:num w:numId="13">
    <w:abstractNumId w:val="17"/>
  </w:num>
  <w:num w:numId="14">
    <w:abstractNumId w:val="11"/>
  </w:num>
  <w:num w:numId="15">
    <w:abstractNumId w:val="2"/>
  </w:num>
  <w:num w:numId="16">
    <w:abstractNumId w:val="22"/>
  </w:num>
  <w:num w:numId="17">
    <w:abstractNumId w:val="16"/>
  </w:num>
  <w:num w:numId="18">
    <w:abstractNumId w:val="5"/>
  </w:num>
  <w:num w:numId="19">
    <w:abstractNumId w:val="7"/>
  </w:num>
  <w:num w:numId="20">
    <w:abstractNumId w:val="8"/>
  </w:num>
  <w:num w:numId="21">
    <w:abstractNumId w:val="18"/>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115A1E"/>
    <w:rsid w:val="00317C33"/>
    <w:rsid w:val="00692E64"/>
    <w:rsid w:val="007B21B3"/>
    <w:rsid w:val="00850742"/>
    <w:rsid w:val="00895BFB"/>
    <w:rsid w:val="00895CE8"/>
    <w:rsid w:val="009E7DA7"/>
    <w:rsid w:val="00CE5B0A"/>
    <w:rsid w:val="00EC07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4D75E4"/>
    <w:rPr>
      <w:sz w:val="18"/>
      <w:szCs w:val="18"/>
    </w:rPr>
  </w:style>
  <w:style w:type="paragraph" w:styleId="CommentText">
    <w:name w:val="annotation text"/>
    <w:basedOn w:val="Normal"/>
    <w:link w:val="CommentTextChar"/>
    <w:uiPriority w:val="99"/>
    <w:semiHidden/>
    <w:unhideWhenUsed/>
    <w:rsid w:val="004D75E4"/>
    <w:rPr>
      <w:sz w:val="24"/>
      <w:szCs w:val="24"/>
    </w:rPr>
  </w:style>
  <w:style w:type="character" w:customStyle="1" w:styleId="CommentTextChar">
    <w:name w:val="Comment Text Char"/>
    <w:link w:val="CommentText"/>
    <w:uiPriority w:val="99"/>
    <w:semiHidden/>
    <w:rsid w:val="004D75E4"/>
    <w:rPr>
      <w:sz w:val="24"/>
      <w:szCs w:val="24"/>
    </w:rPr>
  </w:style>
  <w:style w:type="paragraph" w:styleId="CommentSubject">
    <w:name w:val="annotation subject"/>
    <w:basedOn w:val="CommentText"/>
    <w:next w:val="CommentText"/>
    <w:link w:val="CommentSubjectChar"/>
    <w:uiPriority w:val="99"/>
    <w:semiHidden/>
    <w:unhideWhenUsed/>
    <w:rsid w:val="004D75E4"/>
    <w:rPr>
      <w:b/>
      <w:bCs/>
      <w:sz w:val="20"/>
      <w:szCs w:val="20"/>
    </w:rPr>
  </w:style>
  <w:style w:type="character" w:customStyle="1" w:styleId="CommentSubjectChar">
    <w:name w:val="Comment Subject Char"/>
    <w:link w:val="CommentSubject"/>
    <w:uiPriority w:val="99"/>
    <w:semiHidden/>
    <w:rsid w:val="004D75E4"/>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sz w:val="16"/>
      <w:szCs w:val="16"/>
      <w:lang w:val="x-none" w:eastAsia="x-none"/>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rPr>
      <w:lang w:val="x-none" w:eastAsia="x-none"/>
    </w:r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rPr>
      <w:lang w:val="x-none" w:eastAsia="x-none"/>
    </w:r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customStyle="1" w:styleId="ColorfulList-Accent11">
    <w:name w:val="Colorful List - Accent 11"/>
    <w:basedOn w:val="Normal"/>
    <w:uiPriority w:val="99"/>
    <w:qFormat/>
    <w:rsid w:val="00DA39B8"/>
    <w:pPr>
      <w:spacing w:after="200" w:line="276" w:lineRule="auto"/>
      <w:ind w:firstLine="0"/>
      <w:contextualSpacing/>
    </w:pPr>
  </w:style>
  <w:style w:type="paragraph" w:customStyle="1" w:styleId="MediumGrid21">
    <w:name w:val="Medium Grid 21"/>
    <w:uiPriority w:val="1"/>
    <w:qFormat/>
    <w:rsid w:val="00EE28DE"/>
    <w:pPr>
      <w:ind w:left="720" w:hanging="360"/>
    </w:pPr>
    <w:rPr>
      <w:sz w:val="22"/>
      <w:szCs w:val="22"/>
    </w:rPr>
  </w:style>
  <w:style w:type="character" w:styleId="Strong">
    <w:name w:val="Strong"/>
    <w:uiPriority w:val="22"/>
    <w:qFormat/>
    <w:rsid w:val="00EE28DE"/>
    <w:rPr>
      <w:b/>
      <w:bCs/>
    </w:rPr>
  </w:style>
  <w:style w:type="character" w:styleId="CommentReference">
    <w:name w:val="annotation reference"/>
    <w:uiPriority w:val="99"/>
    <w:semiHidden/>
    <w:unhideWhenUsed/>
    <w:rsid w:val="004D75E4"/>
    <w:rPr>
      <w:sz w:val="18"/>
      <w:szCs w:val="18"/>
    </w:rPr>
  </w:style>
  <w:style w:type="paragraph" w:styleId="CommentText">
    <w:name w:val="annotation text"/>
    <w:basedOn w:val="Normal"/>
    <w:link w:val="CommentTextChar"/>
    <w:uiPriority w:val="99"/>
    <w:semiHidden/>
    <w:unhideWhenUsed/>
    <w:rsid w:val="004D75E4"/>
    <w:rPr>
      <w:sz w:val="24"/>
      <w:szCs w:val="24"/>
    </w:rPr>
  </w:style>
  <w:style w:type="character" w:customStyle="1" w:styleId="CommentTextChar">
    <w:name w:val="Comment Text Char"/>
    <w:link w:val="CommentText"/>
    <w:uiPriority w:val="99"/>
    <w:semiHidden/>
    <w:rsid w:val="004D75E4"/>
    <w:rPr>
      <w:sz w:val="24"/>
      <w:szCs w:val="24"/>
    </w:rPr>
  </w:style>
  <w:style w:type="paragraph" w:styleId="CommentSubject">
    <w:name w:val="annotation subject"/>
    <w:basedOn w:val="CommentText"/>
    <w:next w:val="CommentText"/>
    <w:link w:val="CommentSubjectChar"/>
    <w:uiPriority w:val="99"/>
    <w:semiHidden/>
    <w:unhideWhenUsed/>
    <w:rsid w:val="004D75E4"/>
    <w:rPr>
      <w:b/>
      <w:bCs/>
      <w:sz w:val="20"/>
      <w:szCs w:val="20"/>
    </w:rPr>
  </w:style>
  <w:style w:type="character" w:customStyle="1" w:styleId="CommentSubjectChar">
    <w:name w:val="Comment Subject Char"/>
    <w:link w:val="CommentSubject"/>
    <w:uiPriority w:val="99"/>
    <w:semiHidden/>
    <w:rsid w:val="004D75E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885333948">
      <w:bodyDiv w:val="1"/>
      <w:marLeft w:val="0"/>
      <w:marRight w:val="0"/>
      <w:marTop w:val="0"/>
      <w:marBottom w:val="0"/>
      <w:divBdr>
        <w:top w:val="none" w:sz="0" w:space="0" w:color="auto"/>
        <w:left w:val="none" w:sz="0" w:space="0" w:color="auto"/>
        <w:bottom w:val="none" w:sz="0" w:space="0" w:color="auto"/>
        <w:right w:val="none" w:sz="0" w:space="0" w:color="auto"/>
      </w:divBdr>
    </w:div>
    <w:div w:id="1065108691">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2013-01-02T19:26:00Z</cp:lastPrinted>
  <dcterms:created xsi:type="dcterms:W3CDTF">2015-04-21T19:49:00Z</dcterms:created>
  <dcterms:modified xsi:type="dcterms:W3CDTF">2015-04-21T19:56:00Z</dcterms:modified>
</cp:coreProperties>
</file>